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6" w:rsidRDefault="00756B36" w:rsidP="00756B36">
      <w:pPr>
        <w:spacing w:after="0"/>
        <w:jc w:val="center"/>
        <w:rPr>
          <w:rFonts w:ascii="Times New Roman"/>
          <w:b/>
          <w:i/>
          <w:color w:val="FF0000"/>
          <w:sz w:val="48"/>
        </w:rPr>
      </w:pPr>
      <w:r>
        <w:rPr>
          <w:rFonts w:ascii="Times New Roman" w:hAnsi="Times New Roman"/>
          <w:b/>
          <w:i/>
          <w:color w:val="FF0000"/>
          <w:sz w:val="48"/>
        </w:rPr>
        <w:t>Информация о ситуациях</w:t>
      </w:r>
    </w:p>
    <w:p w:rsidR="00756B36" w:rsidRDefault="00756B36" w:rsidP="00756B36">
      <w:pPr>
        <w:spacing w:after="0"/>
        <w:jc w:val="center"/>
        <w:rPr>
          <w:rFonts w:ascii="Times New Roman"/>
          <w:b/>
          <w:i/>
          <w:color w:val="FF0000"/>
          <w:sz w:val="40"/>
        </w:rPr>
      </w:pPr>
      <w:r>
        <w:rPr>
          <w:rFonts w:ascii="Times New Roman" w:hAnsi="Times New Roman"/>
          <w:b/>
          <w:i/>
          <w:color w:val="FF0000"/>
          <w:sz w:val="40"/>
        </w:rPr>
        <w:t xml:space="preserve">конфликта интересов </w:t>
      </w:r>
    </w:p>
    <w:p w:rsidR="00756B36" w:rsidRDefault="00756B36" w:rsidP="00756B36">
      <w:pPr>
        <w:spacing w:after="0"/>
        <w:jc w:val="center"/>
        <w:rPr>
          <w:rFonts w:ascii="Times New Roman"/>
          <w:b/>
          <w:sz w:val="28"/>
        </w:rPr>
      </w:pP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 xml:space="preserve">В соответствии со статьей 10 Федерального закона от 25 декабря 2008 г. </w:t>
      </w:r>
      <w:r>
        <w:rPr>
          <w:rFonts w:ascii="Times New Roman" w:hAnsi="Times New Roman"/>
          <w:sz w:val="27"/>
        </w:rPr>
        <w:br/>
        <w:t xml:space="preserve">№ 273-ФЗ «О противодействии коррупции» (далее – Федеральный закон № 273-ФЗ) под </w:t>
      </w:r>
      <w:r>
        <w:rPr>
          <w:rFonts w:ascii="Times New Roman" w:hAnsi="Times New Roman"/>
          <w:b/>
          <w:i/>
          <w:sz w:val="27"/>
        </w:rPr>
        <w:t>конфликтом интересов</w:t>
      </w:r>
      <w:r>
        <w:rPr>
          <w:rFonts w:ascii="Times New Roman" w:hAnsi="Times New Roman"/>
          <w:sz w:val="27"/>
        </w:rPr>
        <w:t xml:space="preserve"> в настоящем Федеральном законе понимается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  <w:proofErr w:type="gramEnd"/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При этом может возникнуть противоречие между личными интересами государственного или муниципального служащего и правами, законными интересами граждан, организаций, общества и государства.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8"/>
        </w:rPr>
      </w:pPr>
      <w:proofErr w:type="gramStart"/>
      <w:r>
        <w:rPr>
          <w:rFonts w:ascii="Times New Roman" w:hAnsi="Times New Roman"/>
          <w:sz w:val="27"/>
        </w:rPr>
        <w:t xml:space="preserve">Под </w:t>
      </w:r>
      <w:r>
        <w:rPr>
          <w:rFonts w:ascii="Times New Roman" w:hAnsi="Times New Roman"/>
          <w:b/>
          <w:i/>
          <w:sz w:val="27"/>
        </w:rPr>
        <w:t>личной заинтересованностью</w:t>
      </w:r>
      <w:r>
        <w:rPr>
          <w:rFonts w:ascii="Times New Roman" w:hAnsi="Times New Roman"/>
          <w:sz w:val="27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как непосредственно самим служащим, так и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детей).</w:t>
      </w:r>
      <w:proofErr w:type="gramEnd"/>
    </w:p>
    <w:p w:rsidR="00756B36" w:rsidRDefault="00756B36" w:rsidP="00756B36">
      <w:pPr>
        <w:spacing w:after="0"/>
        <w:jc w:val="both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inline distT="0" distB="0" distL="0" distR="0">
            <wp:extent cx="6390640" cy="2952683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390640" cy="295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B36" w:rsidRDefault="00756B36" w:rsidP="00756B36">
      <w:pPr>
        <w:spacing w:after="0"/>
        <w:ind w:firstLine="709"/>
        <w:jc w:val="center"/>
        <w:rPr>
          <w:rFonts w:asci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Ситуации, при которых возможно возникновение конфликта интересов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выполнение отдельных функций государственного (муниципального) управления, а также осуществление контрольно-надзорной деятельности в отношении родственников и/или иных лиц, с которыми связана личная заинтересованность служащего;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lastRenderedPageBreak/>
        <w:t>- нахождение родственников и иных близких лиц в служебной зависимости от должностного лица, неправомерное назначение их на должности, выплата им вознаграждения, принятие иных необоснованных решений кадрового характера;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выполнение иной оплачиваемой работы;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владение ценными бумагами;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получение подарков и услуг;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имущественные обязательства и судебные разбирательства;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взаимодействие с бывшим работодателем и трудоустройство после увольнения;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</w:t>
      </w:r>
    </w:p>
    <w:p w:rsidR="00756B36" w:rsidRDefault="00756B36" w:rsidP="00756B36">
      <w:pPr>
        <w:tabs>
          <w:tab w:val="left" w:pos="709"/>
        </w:tabs>
        <w:spacing w:after="0"/>
        <w:jc w:val="both"/>
        <w:rPr>
          <w:rFonts w:ascii="Times New Roman"/>
          <w:sz w:val="27"/>
        </w:rPr>
      </w:pPr>
      <w:r>
        <w:rPr>
          <w:rFonts w:ascii="Times New Roman" w:hAnsi="Times New Roman"/>
          <w:b/>
          <w:sz w:val="28"/>
        </w:rPr>
        <w:tab/>
      </w:r>
    </w:p>
    <w:tbl>
      <w:tblPr>
        <w:tblStyle w:val="a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141"/>
        <w:gridCol w:w="5064"/>
      </w:tblGrid>
      <w:tr w:rsidR="00756B36" w:rsidTr="008C36D9">
        <w:trPr>
          <w:trHeight w:val="1770"/>
        </w:trPr>
        <w:tc>
          <w:tcPr>
            <w:tcW w:w="5141" w:type="dxa"/>
          </w:tcPr>
          <w:p w:rsidR="00756B36" w:rsidRDefault="00756B36" w:rsidP="008C36D9">
            <w:pPr>
              <w:tabs>
                <w:tab w:val="left" w:pos="709"/>
              </w:tabs>
              <w:jc w:val="both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noProof/>
                <w:sz w:val="28"/>
              </w:rPr>
              <w:drawing>
                <wp:inline distT="0" distB="0" distL="0" distR="0">
                  <wp:extent cx="3127375" cy="123825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1273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</w:tcPr>
          <w:p w:rsidR="00756B36" w:rsidRDefault="00756B36" w:rsidP="008C36D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Обязанность</w:t>
            </w:r>
            <w:r>
              <w:rPr>
                <w:rFonts w:ascii="Times New Roman"/>
                <w:sz w:val="27"/>
              </w:rPr>
              <w:t>принимать</w:t>
            </w:r>
            <w:proofErr w:type="spellEnd"/>
            <w:r>
              <w:rPr>
                <w:rFonts w:ascii="Times New Roman"/>
                <w:sz w:val="27"/>
              </w:rPr>
              <w:t xml:space="preserve"> меры по предотвращению и урегулированию конфликта интересов возлагается на государственных и муниципальных служащих.</w:t>
            </w:r>
          </w:p>
        </w:tc>
      </w:tr>
    </w:tbl>
    <w:p w:rsidR="00756B36" w:rsidRDefault="00756B36" w:rsidP="00756B36">
      <w:pPr>
        <w:tabs>
          <w:tab w:val="left" w:pos="709"/>
        </w:tabs>
        <w:spacing w:after="0"/>
        <w:jc w:val="both"/>
        <w:rPr>
          <w:rFonts w:ascii="Times New Roman"/>
          <w:sz w:val="27"/>
        </w:rPr>
      </w:pPr>
    </w:p>
    <w:p w:rsidR="00756B36" w:rsidRDefault="00756B36" w:rsidP="00756B36">
      <w:pPr>
        <w:tabs>
          <w:tab w:val="left" w:pos="709"/>
        </w:tabs>
        <w:spacing w:after="0"/>
        <w:ind w:firstLine="709"/>
        <w:jc w:val="center"/>
        <w:rPr>
          <w:rFonts w:ascii="Times New Roman"/>
          <w:sz w:val="27"/>
        </w:rPr>
      </w:pPr>
      <w:r>
        <w:rPr>
          <w:rFonts w:ascii="Times New Roman" w:hAnsi="Times New Roman"/>
          <w:b/>
          <w:sz w:val="28"/>
        </w:rPr>
        <w:t>Урегулирование</w:t>
      </w:r>
      <w:r>
        <w:rPr>
          <w:rFonts w:ascii="Times New Roman" w:hAnsi="Times New Roman"/>
          <w:sz w:val="27"/>
        </w:rPr>
        <w:t xml:space="preserve"> конфликта интересов включает в себя:</w:t>
      </w:r>
    </w:p>
    <w:p w:rsidR="00756B36" w:rsidRDefault="00756B36" w:rsidP="00756B36">
      <w:pPr>
        <w:tabs>
          <w:tab w:val="left" w:pos="709"/>
        </w:tabs>
        <w:spacing w:after="0"/>
        <w:ind w:firstLine="709"/>
        <w:jc w:val="center"/>
        <w:rPr>
          <w:rFonts w:ascii="Times New Roman"/>
          <w:sz w:val="16"/>
        </w:rPr>
      </w:pPr>
    </w:p>
    <w:p w:rsidR="00756B36" w:rsidRDefault="00756B36" w:rsidP="00756B36">
      <w:pPr>
        <w:tabs>
          <w:tab w:val="left" w:pos="709"/>
        </w:tabs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b/>
          <w:sz w:val="27"/>
        </w:rPr>
        <w:t>предупреждение</w:t>
      </w:r>
      <w:r>
        <w:rPr>
          <w:rFonts w:ascii="Times New Roman" w:hAnsi="Times New Roman"/>
          <w:sz w:val="27"/>
        </w:rPr>
        <w:t xml:space="preserve"> конфликта интересов;</w:t>
      </w:r>
    </w:p>
    <w:p w:rsidR="00756B36" w:rsidRDefault="00756B36" w:rsidP="00756B36">
      <w:pPr>
        <w:tabs>
          <w:tab w:val="left" w:pos="709"/>
        </w:tabs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b/>
          <w:sz w:val="27"/>
        </w:rPr>
        <w:t>выявление</w:t>
      </w:r>
      <w:r>
        <w:rPr>
          <w:rFonts w:ascii="Times New Roman" w:hAnsi="Times New Roman"/>
          <w:sz w:val="27"/>
        </w:rPr>
        <w:t xml:space="preserve"> </w:t>
      </w:r>
      <w:proofErr w:type="spellStart"/>
      <w:r>
        <w:rPr>
          <w:rFonts w:ascii="Times New Roman" w:hAnsi="Times New Roman"/>
          <w:sz w:val="27"/>
        </w:rPr>
        <w:t>потенциальногоконфликта</w:t>
      </w:r>
      <w:proofErr w:type="spellEnd"/>
      <w:r>
        <w:rPr>
          <w:rFonts w:ascii="Times New Roman" w:hAnsi="Times New Roman"/>
          <w:sz w:val="27"/>
        </w:rPr>
        <w:t xml:space="preserve"> интересов;</w:t>
      </w:r>
    </w:p>
    <w:p w:rsidR="00756B36" w:rsidRDefault="00756B36" w:rsidP="00756B36">
      <w:pPr>
        <w:tabs>
          <w:tab w:val="left" w:pos="709"/>
        </w:tabs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b/>
          <w:sz w:val="27"/>
        </w:rPr>
        <w:t>предотвращение</w:t>
      </w:r>
      <w:r>
        <w:rPr>
          <w:rFonts w:ascii="Times New Roman" w:hAnsi="Times New Roman"/>
          <w:sz w:val="27"/>
        </w:rPr>
        <w:t xml:space="preserve"> негативных последствий конфликта интересов.</w:t>
      </w:r>
    </w:p>
    <w:p w:rsidR="00756B36" w:rsidRDefault="00756B36" w:rsidP="00756B36">
      <w:pPr>
        <w:tabs>
          <w:tab w:val="left" w:pos="709"/>
        </w:tabs>
        <w:spacing w:after="0"/>
        <w:ind w:firstLine="709"/>
        <w:jc w:val="both"/>
        <w:rPr>
          <w:rFonts w:ascii="Times New Roman"/>
          <w:sz w:val="16"/>
        </w:rPr>
      </w:pPr>
    </w:p>
    <w:p w:rsidR="00756B36" w:rsidRDefault="00756B36" w:rsidP="00756B36">
      <w:pPr>
        <w:tabs>
          <w:tab w:val="left" w:pos="585"/>
        </w:tabs>
        <w:spacing w:after="0"/>
        <w:ind w:firstLine="709"/>
        <w:jc w:val="both"/>
        <w:rPr>
          <w:rFonts w:asci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За несоблюдение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27 июля 2004 года № 79-ФЗ «О государственной гражданской службе Российской Федерации», Федеральным законом от 25 декабря 2008 года № 273-ФЗ «О противодействии</w:t>
      </w:r>
      <w:proofErr w:type="gramEnd"/>
      <w:r>
        <w:rPr>
          <w:rFonts w:ascii="Times New Roman" w:hAnsi="Times New Roman"/>
          <w:sz w:val="27"/>
        </w:rPr>
        <w:t xml:space="preserve"> коррупции» и другими федеральными законами, принимают меры юридической ответственности.</w:t>
      </w:r>
    </w:p>
    <w:tbl>
      <w:tblPr>
        <w:tblStyle w:val="a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15"/>
        <w:gridCol w:w="5106"/>
      </w:tblGrid>
      <w:tr w:rsidR="00756B36" w:rsidTr="008C36D9">
        <w:trPr>
          <w:trHeight w:val="3170"/>
        </w:trPr>
        <w:tc>
          <w:tcPr>
            <w:tcW w:w="5387" w:type="dxa"/>
          </w:tcPr>
          <w:p w:rsidR="00756B36" w:rsidRDefault="00756B36" w:rsidP="008C36D9">
            <w:pPr>
              <w:tabs>
                <w:tab w:val="left" w:pos="585"/>
              </w:tabs>
              <w:spacing w:line="276" w:lineRule="auto"/>
              <w:jc w:val="center"/>
              <w:rPr>
                <w:rFonts w:ascii="Times New Roman"/>
                <w:b/>
                <w:i/>
                <w:sz w:val="27"/>
              </w:rPr>
            </w:pPr>
            <w:r>
              <w:rPr>
                <w:rFonts w:ascii="Times New Roman"/>
                <w:b/>
                <w:i/>
                <w:sz w:val="27"/>
              </w:rPr>
              <w:lastRenderedPageBreak/>
              <w:t xml:space="preserve">Меры </w:t>
            </w:r>
            <w:r>
              <w:rPr>
                <w:rFonts w:ascii="Times New Roman"/>
                <w:i/>
                <w:sz w:val="27"/>
              </w:rPr>
              <w:t xml:space="preserve">по предотвращению </w:t>
            </w:r>
          </w:p>
          <w:p w:rsidR="00756B36" w:rsidRDefault="00756B36" w:rsidP="008C36D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/>
                <w:i/>
                <w:sz w:val="27"/>
              </w:rPr>
            </w:pPr>
            <w:r>
              <w:rPr>
                <w:rFonts w:ascii="Times New Roman"/>
                <w:i/>
                <w:sz w:val="27"/>
              </w:rPr>
              <w:t>конфликта интересов:</w:t>
            </w:r>
          </w:p>
          <w:p w:rsidR="00756B36" w:rsidRDefault="00756B36" w:rsidP="008C36D9">
            <w:pPr>
              <w:tabs>
                <w:tab w:val="left" w:pos="585"/>
              </w:tabs>
              <w:jc w:val="both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- </w:t>
            </w:r>
            <w:r>
              <w:rPr>
                <w:rFonts w:ascii="Times New Roman"/>
                <w:b/>
                <w:sz w:val="27"/>
              </w:rPr>
              <w:t>отказ от выгоды</w:t>
            </w:r>
            <w:r>
              <w:rPr>
                <w:rFonts w:ascii="Times New Roman"/>
                <w:sz w:val="27"/>
              </w:rPr>
              <w:t>, явившейся причиной возникновения конфликта интересов;</w:t>
            </w:r>
          </w:p>
          <w:p w:rsidR="00756B36" w:rsidRDefault="00756B36" w:rsidP="008C36D9">
            <w:pPr>
              <w:tabs>
                <w:tab w:val="left" w:pos="585"/>
              </w:tabs>
              <w:jc w:val="both"/>
              <w:rPr>
                <w:rFonts w:ascii="Times New Roman"/>
                <w:sz w:val="27"/>
              </w:rPr>
            </w:pPr>
            <w:proofErr w:type="gramStart"/>
            <w:r>
              <w:rPr>
                <w:rFonts w:ascii="Times New Roman"/>
                <w:sz w:val="27"/>
              </w:rPr>
              <w:t xml:space="preserve">- </w:t>
            </w:r>
            <w:r>
              <w:rPr>
                <w:rFonts w:ascii="Times New Roman"/>
                <w:b/>
                <w:sz w:val="27"/>
              </w:rPr>
              <w:t>изменении должностного или служебного положения служащего</w:t>
            </w:r>
            <w:r>
              <w:rPr>
                <w:rFonts w:ascii="Times New Roman"/>
                <w:sz w:val="27"/>
              </w:rPr>
              <w:t xml:space="preserve">, являющегося стороной конфликта интересов, вплоть до его </w:t>
            </w:r>
            <w:r>
              <w:rPr>
                <w:rFonts w:ascii="Times New Roman"/>
                <w:b/>
                <w:sz w:val="27"/>
              </w:rPr>
              <w:t>отстранения</w:t>
            </w:r>
            <w:r>
              <w:rPr>
                <w:rFonts w:ascii="Times New Roman"/>
                <w:sz w:val="27"/>
              </w:rPr>
              <w:t xml:space="preserve"> от исполнения должностных (служебных) обязанностей;</w:t>
            </w:r>
            <w:proofErr w:type="gramEnd"/>
          </w:p>
          <w:p w:rsidR="00756B36" w:rsidRDefault="00756B36" w:rsidP="008C36D9">
            <w:pPr>
              <w:tabs>
                <w:tab w:val="left" w:pos="585"/>
              </w:tabs>
              <w:jc w:val="both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- </w:t>
            </w:r>
            <w:r>
              <w:rPr>
                <w:rFonts w:ascii="Times New Roman"/>
                <w:b/>
                <w:sz w:val="27"/>
              </w:rPr>
              <w:t>отвод или самоотвод</w:t>
            </w:r>
            <w:r>
              <w:rPr>
                <w:rFonts w:ascii="Times New Roman"/>
                <w:sz w:val="27"/>
              </w:rPr>
              <w:t xml:space="preserve"> служащего в случаях и порядке предусмотренных законодательством Российской Федерации.</w:t>
            </w:r>
          </w:p>
        </w:tc>
        <w:tc>
          <w:tcPr>
            <w:tcW w:w="5106" w:type="dxa"/>
          </w:tcPr>
          <w:p w:rsidR="00756B36" w:rsidRDefault="00756B36" w:rsidP="008C36D9">
            <w:pPr>
              <w:tabs>
                <w:tab w:val="left" w:pos="585"/>
              </w:tabs>
              <w:jc w:val="both"/>
              <w:rPr>
                <w:rFonts w:ascii="Times New Roman"/>
                <w:sz w:val="27"/>
              </w:rPr>
            </w:pPr>
            <w:r>
              <w:rPr>
                <w:rFonts w:ascii="Times New Roman"/>
                <w:noProof/>
                <w:sz w:val="27"/>
              </w:rPr>
              <w:drawing>
                <wp:inline distT="0" distB="0" distL="0" distR="0">
                  <wp:extent cx="3103880" cy="241935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10388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B36" w:rsidRDefault="00756B36" w:rsidP="00756B36">
      <w:pPr>
        <w:tabs>
          <w:tab w:val="left" w:pos="585"/>
        </w:tabs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Одной из мер по предупреждению коррупции, принимаемых в организации (учреждении), в соответствии со статьей 13.3 «Обязанность организаций принимать меры по предупреждению коррупции» Федерального закона № 273-ФЗ, является предотвращение и урегулирование конфликта интересов.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Так согласно статьи 22 Трудового кодекса Российской </w:t>
      </w:r>
      <w:proofErr w:type="spellStart"/>
      <w:r>
        <w:rPr>
          <w:rFonts w:ascii="Times New Roman" w:hAnsi="Times New Roman"/>
          <w:sz w:val="27"/>
        </w:rPr>
        <w:t>Федерациируководитель</w:t>
      </w:r>
      <w:proofErr w:type="spellEnd"/>
      <w:r>
        <w:rPr>
          <w:rFonts w:ascii="Times New Roman" w:hAnsi="Times New Roman"/>
          <w:sz w:val="27"/>
        </w:rPr>
        <w:t xml:space="preserve"> имеет </w:t>
      </w:r>
      <w:proofErr w:type="spellStart"/>
      <w:r>
        <w:rPr>
          <w:rFonts w:ascii="Times New Roman" w:hAnsi="Times New Roman"/>
          <w:sz w:val="27"/>
        </w:rPr>
        <w:t>правопоощрять</w:t>
      </w:r>
      <w:proofErr w:type="spellEnd"/>
      <w:r>
        <w:rPr>
          <w:rFonts w:ascii="Times New Roman" w:hAnsi="Times New Roman"/>
          <w:sz w:val="27"/>
        </w:rPr>
        <w:t xml:space="preserve"> работников за добросовестный эффективный </w:t>
      </w:r>
      <w:proofErr w:type="gramStart"/>
      <w:r>
        <w:rPr>
          <w:rFonts w:ascii="Times New Roman" w:hAnsi="Times New Roman"/>
          <w:sz w:val="27"/>
        </w:rPr>
        <w:t>труд</w:t>
      </w:r>
      <w:proofErr w:type="gramEnd"/>
      <w:r>
        <w:rPr>
          <w:rFonts w:ascii="Times New Roman" w:hAnsi="Times New Roman"/>
          <w:sz w:val="27"/>
        </w:rPr>
        <w:t xml:space="preserve"> и привлекать к дисциплинарной и материальной ответственности в порядке, установленном указанным Кодексом и иными федеральными законами.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</w:t>
      </w:r>
      <w:r>
        <w:rPr>
          <w:rFonts w:ascii="Times New Roman" w:hAnsi="Times New Roman"/>
          <w:b/>
          <w:sz w:val="27"/>
        </w:rPr>
        <w:t>все работники подконтрольны работодателю</w:t>
      </w:r>
      <w:r>
        <w:rPr>
          <w:rFonts w:ascii="Times New Roman" w:hAnsi="Times New Roman"/>
          <w:sz w:val="27"/>
        </w:rPr>
        <w:t xml:space="preserve">. </w:t>
      </w:r>
      <w:proofErr w:type="gramStart"/>
      <w:r>
        <w:rPr>
          <w:rFonts w:ascii="Times New Roman" w:hAnsi="Times New Roman"/>
          <w:sz w:val="27"/>
        </w:rPr>
        <w:t>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  <w:proofErr w:type="gramEnd"/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Высокая значимость </w:t>
      </w:r>
      <w:proofErr w:type="gramStart"/>
      <w:r>
        <w:rPr>
          <w:rFonts w:ascii="Times New Roman" w:hAnsi="Times New Roman"/>
          <w:sz w:val="27"/>
        </w:rPr>
        <w:t>реализации инструмента предотвращения конфликта интересов</w:t>
      </w:r>
      <w:proofErr w:type="gramEnd"/>
      <w:r>
        <w:rPr>
          <w:rFonts w:ascii="Times New Roman" w:hAnsi="Times New Roman"/>
          <w:sz w:val="27"/>
        </w:rPr>
        <w:t xml:space="preserve">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 или иными отношениями. 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</w:t>
      </w:r>
      <w:r>
        <w:rPr>
          <w:rFonts w:ascii="Times New Roman" w:hAnsi="Times New Roman"/>
          <w:sz w:val="27"/>
        </w:rPr>
        <w:lastRenderedPageBreak/>
        <w:t>пользу распределяется та или иная ограниченная выгода. Когда работник встает перед выбором между предоставлением такого «блага» связанным с ним лицам или лицами, являющимся для работника «посторонними»,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При этом следует понимать, что сам по себе конфликт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организации обязаны принимать меры по выявлению и урегулированию таких ситуаций.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16"/>
        </w:rPr>
      </w:pPr>
    </w:p>
    <w:p w:rsidR="00756B36" w:rsidRDefault="00756B36" w:rsidP="00756B36">
      <w:pPr>
        <w:spacing w:after="0"/>
        <w:ind w:firstLine="709"/>
        <w:jc w:val="center"/>
        <w:rPr>
          <w:rFonts w:ascii="Times New Roman"/>
          <w:i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Примеры ситуаций</w:t>
      </w:r>
    </w:p>
    <w:p w:rsidR="00756B36" w:rsidRDefault="00756B36" w:rsidP="00756B36">
      <w:pPr>
        <w:spacing w:after="0"/>
        <w:ind w:firstLine="709"/>
        <w:jc w:val="center"/>
        <w:rPr>
          <w:rFonts w:asci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возникновения конфликта интересов </w:t>
      </w:r>
    </w:p>
    <w:p w:rsidR="00756B36" w:rsidRDefault="00756B36" w:rsidP="00756B36">
      <w:pPr>
        <w:spacing w:after="0"/>
        <w:ind w:firstLine="709"/>
        <w:jc w:val="center"/>
        <w:rPr>
          <w:rFonts w:ascii="Times New Roman"/>
          <w:b/>
          <w:sz w:val="32"/>
        </w:rPr>
      </w:pPr>
      <w:r>
        <w:rPr>
          <w:rFonts w:ascii="Times New Roman" w:hAnsi="Times New Roman"/>
          <w:b/>
          <w:sz w:val="32"/>
        </w:rPr>
        <w:t>I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В комитете государственного органа муж сестры председателя комитета замещает должность начальника управления. 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В соответствии с должностными полномочиями председатель комитета планирует работу комитета, дает поручения и распределяет задачи между сотрудниками комитета, в пределах имеющегося фонда оплаты труда определяет конкретный размер премий служащих комитета, инициирует проведение служебных проверок.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Принятие председателем комитета решений об установлении размера премии, выплачиваемой мужу сестры, напрямую влияет на возможность получения дохода в виде денег лицом, состоящим с председателем комитета в отношениях родства (сестрой) в связи с тем, что в соответствии со статьей 34 Семейного кодекса Российской Федерации имущество, нажитое супругами во время брака, является их совместной собственностью, к которой, в частности, относятся доходы каждого</w:t>
      </w:r>
      <w:proofErr w:type="gramEnd"/>
      <w:r>
        <w:rPr>
          <w:rFonts w:ascii="Times New Roman" w:hAnsi="Times New Roman"/>
          <w:sz w:val="27"/>
        </w:rPr>
        <w:t xml:space="preserve"> из них от трудовой деятельности. 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указанного дохода сестрой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756B36" w:rsidRDefault="00756B36" w:rsidP="00756B36">
      <w:pPr>
        <w:spacing w:after="0"/>
        <w:ind w:firstLine="709"/>
        <w:jc w:val="center"/>
        <w:rPr>
          <w:rFonts w:ascii="Times New Roman"/>
          <w:b/>
          <w:sz w:val="32"/>
        </w:rPr>
      </w:pPr>
    </w:p>
    <w:p w:rsidR="00756B36" w:rsidRDefault="00756B36" w:rsidP="00756B36">
      <w:pPr>
        <w:spacing w:after="0"/>
        <w:ind w:firstLine="709"/>
        <w:jc w:val="center"/>
        <w:rPr>
          <w:rFonts w:ascii="Times New Roman"/>
          <w:b/>
          <w:sz w:val="32"/>
        </w:rPr>
      </w:pPr>
      <w:r>
        <w:rPr>
          <w:rFonts w:ascii="Times New Roman" w:hAnsi="Times New Roman"/>
          <w:b/>
          <w:sz w:val="32"/>
        </w:rPr>
        <w:t>II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lastRenderedPageBreak/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</w:t>
      </w:r>
      <w:proofErr w:type="gramEnd"/>
      <w:r>
        <w:rPr>
          <w:rFonts w:ascii="Times New Roman" w:hAnsi="Times New Roman"/>
          <w:sz w:val="27"/>
        </w:rPr>
        <w:t xml:space="preserve">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выгод организацией в виде неприменения к ней штрафных санкций в соответствии со статьей 10 Федерального закона №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756B36" w:rsidRDefault="00756B36" w:rsidP="00756B36">
      <w:pPr>
        <w:spacing w:after="0"/>
        <w:ind w:firstLine="709"/>
        <w:jc w:val="center"/>
        <w:rPr>
          <w:rFonts w:ascii="Times New Roman"/>
          <w:b/>
          <w:sz w:val="32"/>
        </w:rPr>
      </w:pPr>
    </w:p>
    <w:p w:rsidR="00756B36" w:rsidRDefault="00756B36" w:rsidP="00756B36">
      <w:pPr>
        <w:spacing w:after="0"/>
        <w:ind w:firstLine="709"/>
        <w:jc w:val="center"/>
        <w:rPr>
          <w:rFonts w:ascii="Times New Roman"/>
          <w:b/>
          <w:sz w:val="32"/>
        </w:rPr>
      </w:pPr>
      <w:r>
        <w:rPr>
          <w:rFonts w:ascii="Times New Roman" w:hAnsi="Times New Roman"/>
          <w:b/>
          <w:sz w:val="32"/>
        </w:rPr>
        <w:t>III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Сотрудник образовательного учреждения (учитель) находится в родственных отношениях (супруг) с директором того же образовательного учреждения.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В должностные обязанности директора образовательного учреждения входит разработка и учреждение графиков работы и отпусков, должностных инструкций работников, распределение педагогической нагрузки, установление заработной платы, а также директор имеет право на поощрение работников и привлечение их к дисциплинарной ответственности. 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Статьей 13.3 Федерального закона от 25 декабря 2008 № 273-ФЗ </w:t>
      </w:r>
      <w:r>
        <w:rPr>
          <w:rFonts w:ascii="Times New Roman" w:hAnsi="Times New Roman"/>
          <w:sz w:val="27"/>
        </w:rPr>
        <w:br/>
        <w:t xml:space="preserve">«О противодействии коррупции» установлена обязанность организаций </w:t>
      </w:r>
      <w:proofErr w:type="gramStart"/>
      <w:r>
        <w:rPr>
          <w:rFonts w:ascii="Times New Roman" w:hAnsi="Times New Roman"/>
          <w:sz w:val="27"/>
        </w:rPr>
        <w:t>разрабатывать</w:t>
      </w:r>
      <w:proofErr w:type="gramEnd"/>
      <w:r>
        <w:rPr>
          <w:rFonts w:ascii="Times New Roman" w:hAnsi="Times New Roman"/>
          <w:sz w:val="27"/>
        </w:rPr>
        <w:t xml:space="preserve"> и принимать меры по предупреждению коррупции, в том числе меры по предотвращению и урегулированию конфликта интересов. Во исполнение указаний нормы закона в учреждении приняты локальные </w:t>
      </w:r>
      <w:proofErr w:type="spellStart"/>
      <w:r>
        <w:rPr>
          <w:rFonts w:ascii="Times New Roman" w:hAnsi="Times New Roman"/>
          <w:sz w:val="27"/>
        </w:rPr>
        <w:t>актырегламентирующие</w:t>
      </w:r>
      <w:proofErr w:type="spellEnd"/>
      <w:r>
        <w:rPr>
          <w:rFonts w:ascii="Times New Roman" w:hAnsi="Times New Roman"/>
          <w:sz w:val="27"/>
        </w:rPr>
        <w:t xml:space="preserve"> меры по предупреждению коррупции, принимаемые в организации: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lastRenderedPageBreak/>
        <w:t>- предотвращение и урегулирование конфликта интересов;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сотрудничество организации с правоохранительными органами;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принятие кодекса этики и служебного поведения работников организации;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- недопущение составления неофициальной отчетности и использования поддельных документов.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все работники подконтрольны работодателю - директору. </w:t>
      </w:r>
      <w:proofErr w:type="gramStart"/>
      <w:r>
        <w:rPr>
          <w:rFonts w:ascii="Times New Roman" w:hAnsi="Times New Roman"/>
          <w:sz w:val="27"/>
        </w:rPr>
        <w:t>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  <w:proofErr w:type="gramEnd"/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родственником директора (супругой, сестрой и др.) дохода образует личную заинтересованность и приводит или может привести к конфликту интересов.</w:t>
      </w:r>
    </w:p>
    <w:p w:rsidR="00756B36" w:rsidRDefault="00756B36" w:rsidP="00756B36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 w:hAnsi="Times New Roman"/>
          <w:sz w:val="27"/>
        </w:rPr>
        <w:t xml:space="preserve">Директор образовательного учреждения должен подать уведомление о возникновении или возможном возникновении конфликта интересов, которое рассматривается на заседании комиссии по соблюдению требований к служебному поведению и урегулированию конфликта интересов учредителя образовательной организации. По результатам заседания комиссия рекомендует директору неукоснительно соблюдать предложенные им меры, контроль за которыми возлагается на профильный отдел учредителя или заместителя руководителя органа, а также предлагается директору </w:t>
      </w:r>
      <w:bookmarkStart w:id="0" w:name="_GoBack"/>
      <w:bookmarkEnd w:id="0"/>
      <w:r>
        <w:rPr>
          <w:rFonts w:ascii="Times New Roman" w:hAnsi="Times New Roman"/>
          <w:sz w:val="27"/>
        </w:rPr>
        <w:t>принимать решения коллегиально.</w:t>
      </w:r>
    </w:p>
    <w:p w:rsidR="00756B36" w:rsidRDefault="00756B36" w:rsidP="00756B36">
      <w:pPr>
        <w:spacing w:after="0"/>
        <w:ind w:firstLine="709"/>
        <w:jc w:val="center"/>
        <w:rPr>
          <w:rFonts w:ascii="Times New Roman"/>
          <w:b/>
          <w:sz w:val="32"/>
        </w:rPr>
      </w:pPr>
    </w:p>
    <w:p w:rsidR="00452412" w:rsidRDefault="00452412"/>
    <w:sectPr w:rsidR="00452412" w:rsidSect="00147E11">
      <w:headerReference w:type="default" r:id="rId7"/>
      <w:pgSz w:w="11906" w:h="16838"/>
      <w:pgMar w:top="568" w:right="567" w:bottom="1134" w:left="1134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11" w:rsidRDefault="00452412">
    <w:pPr>
      <w:framePr w:wrap="around" w:vAnchor="text" w:hAnchor="margin" w:xAlign="center" w:y="1"/>
    </w:pPr>
    <w:r>
      <w:rPr>
        <w:rFonts w:asci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/>
        <w:sz w:val="24"/>
      </w:rPr>
      <w:fldChar w:fldCharType="separate"/>
    </w:r>
    <w:r w:rsidR="00756B36">
      <w:rPr>
        <w:rFonts w:ascii="Times New Roman" w:hAnsi="Times New Roman"/>
        <w:noProof/>
        <w:sz w:val="24"/>
      </w:rPr>
      <w:t>2</w:t>
    </w:r>
    <w:r>
      <w:rPr>
        <w:rFonts w:ascii="Times New Roman"/>
        <w:sz w:val="24"/>
      </w:rPr>
      <w:fldChar w:fldCharType="end"/>
    </w:r>
  </w:p>
  <w:p w:rsidR="00147E11" w:rsidRDefault="00452412">
    <w:pPr>
      <w:pStyle w:val="a3"/>
      <w:jc w:val="center"/>
      <w:rPr>
        <w:rFonts w:ascii="Times New Roman"/>
        <w:sz w:val="24"/>
      </w:rPr>
    </w:pPr>
  </w:p>
  <w:p w:rsidR="00147E11" w:rsidRDefault="004524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6B36"/>
    <w:rsid w:val="00452412"/>
    <w:rsid w:val="0075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B36"/>
    <w:pPr>
      <w:tabs>
        <w:tab w:val="center" w:pos="4677"/>
        <w:tab w:val="right" w:pos="9355"/>
      </w:tabs>
      <w:spacing w:after="0" w:line="240" w:lineRule="auto"/>
    </w:pPr>
    <w:rPr>
      <w:rFonts w:eastAsia="Times New Roman" w:hAnsi="Times New Roman" w:cs="Times New Roman"/>
      <w:color w:val="000000"/>
      <w:szCs w:val="20"/>
    </w:rPr>
  </w:style>
  <w:style w:type="character" w:customStyle="1" w:styleId="a4">
    <w:name w:val="Верхний колонтитул Знак"/>
    <w:basedOn w:val="a0"/>
    <w:link w:val="a3"/>
    <w:rsid w:val="00756B36"/>
    <w:rPr>
      <w:rFonts w:eastAsia="Times New Roman" w:hAnsi="Times New Roman" w:cs="Times New Roman"/>
      <w:color w:val="000000"/>
      <w:szCs w:val="20"/>
    </w:rPr>
  </w:style>
  <w:style w:type="table" w:styleId="a5">
    <w:name w:val="Table Grid"/>
    <w:basedOn w:val="a1"/>
    <w:rsid w:val="00756B36"/>
    <w:pPr>
      <w:spacing w:after="0" w:line="240" w:lineRule="auto"/>
    </w:pPr>
    <w:rPr>
      <w:rFonts w:eastAsia="Times New Roman" w:hAnsi="Times New Roman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10561</Characters>
  <Application>Microsoft Office Word</Application>
  <DocSecurity>0</DocSecurity>
  <Lines>88</Lines>
  <Paragraphs>24</Paragraphs>
  <ScaleCrop>false</ScaleCrop>
  <Company>Pirated Aliance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2020-10-19T07:28:00Z</dcterms:created>
  <dcterms:modified xsi:type="dcterms:W3CDTF">2020-10-19T07:28:00Z</dcterms:modified>
</cp:coreProperties>
</file>