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«подкуп», «порча», «упадок».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«лихоимство»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на их объективность и добросовестность при решении различных вопросов.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мздоимства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F02B82" w:rsidRDefault="00F02B82" w:rsidP="00F02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76300" t="0" r="19050" b="19050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к взяточничеству.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F02B82" w:rsidRDefault="00F02B82" w:rsidP="00F02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pQ+AIAAAY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" adj="-4131,2825" fillcolor="#5b9bd5 [3204]" strokecolor="#1f4d78 [1604]" strokeweight="1pt">
                <v:textbox>
                  <w:txbxContent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к взяточничеству.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во избежание стеснений, или подкуп его на незаконное дело.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F02B82" w:rsidRDefault="00F02B82" w:rsidP="00F02B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left:0;text-align:left;margin-left:.35pt;margin-top:98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" fillcolor="white [3201]" strokeweight=".5pt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13" name="Рисунок 13" descr="Картинки по запросу Двинская уставная грамота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посул, то не в посул».</w:t>
      </w:r>
    </w:p>
    <w:p w:rsidR="00F02B82" w:rsidRDefault="00F02B82" w:rsidP="00F02B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12" name="Рисунок 12" descr="Картинки по запросу судная грамота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посула не взятии с обе половине».</w:t>
      </w:r>
    </w:p>
    <w:p w:rsidR="00F02B82" w:rsidRDefault="00F02B82" w:rsidP="00F02B82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7" o:spid="_x0000_s1028" type="#_x0000_t202" style="position:absolute;left:0;text-align:left;margin-left:-82.85pt;margin-top:42.1pt;width:72.75pt;height:2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NAd6ANCAgAA&#10;XgQAAA4AAAAAAAAAAAAAAAAALgIAAGRycy9lMm9Eb2MueG1sUEsBAi0AFAAGAAgAAAAhAPxeN9Th&#10;AAAACwEAAA8AAAAAAAAAAAAAAAAAnAQAAGRycy9kb3ducmV2LnhtbFBLBQYAAAAABAAEAPMAAACq&#10;BQAAAAA=&#10;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-87pt;margin-top:62.1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9" descr="Картинки по запросу Уложения 1649 год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уголовные преступления можно подразделить на две подгруппы: должностные и против прав и жизни частных лиц.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8" name="Рисунок 8" descr="Картинки по запросу наказание за посул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>не самим судьей, а его родственниками. Если посул взят родственником судьи без его ведома, то судья не нёс ответственности.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F02B82" w:rsidRDefault="00F02B82" w:rsidP="00F02B82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7" name="Рисунок 7" descr="Картинки по запросу наказание судей в царской россии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Словом, закон брал под защиту судебные органы от наветов.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для низового аппарата – приставов,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F02B82" w:rsidRDefault="00F02B82" w:rsidP="00F02B82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19" w:tooltip="Целовальник" w:history="1">
        <w:r>
          <w:rPr>
            <w:rStyle w:val="a3"/>
            <w:bCs/>
          </w:rPr>
          <w:t>целовальник</w:t>
        </w:r>
      </w:hyperlink>
      <w:r>
        <w:t xml:space="preserve"> — должность в </w:t>
      </w:r>
      <w:hyperlink r:id="rId20" w:tooltip="Московская Русь" w:history="1">
        <w:r>
          <w:rPr>
            <w:rStyle w:val="a3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1" w:tooltip="Волость" w:history="1">
        <w:r>
          <w:rPr>
            <w:rStyle w:val="a3"/>
          </w:rPr>
          <w:t>волость</w:t>
        </w:r>
      </w:hyperlink>
      <w:r>
        <w:t xml:space="preserve"> или ведомство.</w:t>
      </w:r>
    </w:p>
    <w:p w:rsidR="00F02B82" w:rsidRDefault="00F02B82" w:rsidP="00F02B82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F02B82" w:rsidRDefault="00F02B82" w:rsidP="00F02B8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0" type="#_x0000_t202" style="position:absolute;left:0;text-align:left;margin-left:-79.5pt;margin-top:98.1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" fillcolor="white [3201]" strokeweight=".5pt">
                <v:textbox>
                  <w:txbxContent>
                    <w:p w:rsidR="00F02B82" w:rsidRDefault="00F02B82" w:rsidP="00F02B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6" name="Рисунок 6" descr="Картинки по запросу петр 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  <w:t>и прочее лихоимство.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1" type="#_x0000_t202" style="position:absolute;left:0;text-align:left;margin-left:-84.75pt;margin-top:106.8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" fillcolor="white [3201]" strokeweight=".5pt">
                <v:textbox>
                  <w:txbxContent>
                    <w:p w:rsidR="00F02B82" w:rsidRDefault="00F02B82" w:rsidP="00F02B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5" name="Рисунок 5" descr="Картинки по запросу николай i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статьях 411 и 412 были исключены. Так, в Уложении закреплялись следующие виды коррупционных правонарушений: 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высочайших указов и повелений;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мздоимство;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4" name="Рисунок 4" descr="Картинки по запросу ленин в.и. фото картинки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подкупу служащих.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границу, оптации и других;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F02B82" w:rsidRDefault="00F02B82" w:rsidP="00F02B8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28" w:tooltip="Латинский язы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лат.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29" w:tooltip="Международ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hyperlink r:id="rId30" w:tooltip="Конституцион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1" w:tooltip="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гражданства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2" w:tooltip="Множественное 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3" w:tooltip="Натурализаци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приобретения гражданства</w:t>
        </w:r>
      </w:hyperlink>
    </w:p>
    <w:p w:rsidR="00F02B82" w:rsidRDefault="00F02B82" w:rsidP="00F02B8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3" name="Рисунок 3" descr="Картинки по запросу остановим коррупцию вместе фото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" name="Рисунок 1" descr="Картинки по запросу ТВОЕ НЕТ ИМЕЕТ ЗНАЧЕНИЕ картинки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>
                      <a:hlinkClick r:id="rId3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2954" w:rsidRDefault="009E2954">
      <w:bookmarkStart w:id="0" w:name="_GoBack"/>
      <w:bookmarkEnd w:id="0"/>
    </w:p>
    <w:sectPr w:rsidR="009E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E3"/>
    <w:rsid w:val="009D3EE3"/>
    <w:rsid w:val="009E2954"/>
    <w:rsid w:val="00F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B68E-1EAD-4EFC-8DA6-267EC451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B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2B82"/>
    <w:pPr>
      <w:ind w:left="720"/>
      <w:contextualSpacing/>
    </w:pPr>
  </w:style>
  <w:style w:type="paragraph" w:customStyle="1" w:styleId="ConsPlusNormal">
    <w:name w:val="ConsPlusNormal"/>
    <w:uiPriority w:val="99"/>
    <w:rsid w:val="00F0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B%D0%BE%D1%81%D1%82%D1%8C" TargetMode="External"/><Relationship Id="rId34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7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ru.wikipedia.org/wiki/%D0%9D%D0%B0%D1%82%D1%83%D1%80%D0%B0%D0%BB%D0%B8%D0%B7%D0%B0%D1%86%D0%B8%D1%8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9C%D0%BE%D1%81%D0%BA%D0%BE%D0%B2%D1%81%D0%BA%D0%B0%D1%8F_%D0%A0%D1%83%D1%81%D1%8C" TargetMode="External"/><Relationship Id="rId29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4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2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7" Type="http://schemas.openxmlformats.org/officeDocument/2006/relationships/image" Target="media/image12.png"/><Relationship Id="rId5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5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ru.wikipedia.org/wiki/%D0%9B%D0%B0%D1%82%D0%B8%D0%BD%D1%81%D0%BA%D0%B8%D0%B9_%D1%8F%D0%B7%D1%8B%D0%BA" TargetMode="External"/><Relationship Id="rId36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6%D0%B5%D0%BB%D0%BE%D0%B2%D0%B0%D0%BB%D1%8C%D0%BD%D0%B8%D0%BA" TargetMode="External"/><Relationship Id="rId31" Type="http://schemas.openxmlformats.org/officeDocument/2006/relationships/hyperlink" Target="https://ru.wikipedia.org/wiki/%D0%93%D1%80%D0%B0%D0%B6%D0%B4%D0%B0%D0%BD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3339</Words>
  <Characters>19034</Characters>
  <Application>Microsoft Office Word</Application>
  <DocSecurity>0</DocSecurity>
  <Lines>158</Lines>
  <Paragraphs>44</Paragraphs>
  <ScaleCrop>false</ScaleCrop>
  <Company/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2018-12-19T09:24:00Z</dcterms:created>
  <dcterms:modified xsi:type="dcterms:W3CDTF">2018-12-19T09:24:00Z</dcterms:modified>
</cp:coreProperties>
</file>