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4DE" w:rsidRPr="00B504DE" w:rsidRDefault="00B504DE" w:rsidP="00B504DE">
      <w:pPr>
        <w:pStyle w:val="1"/>
        <w:widowControl/>
        <w:tabs>
          <w:tab w:val="left" w:pos="9922"/>
        </w:tabs>
        <w:ind w:right="0"/>
        <w:rPr>
          <w:sz w:val="24"/>
          <w:szCs w:val="24"/>
        </w:rPr>
      </w:pPr>
      <w:r w:rsidRPr="00B504DE">
        <w:rPr>
          <w:sz w:val="24"/>
          <w:szCs w:val="24"/>
        </w:rPr>
        <w:t>АДМИНИСТРАЦИЯ</w:t>
      </w:r>
    </w:p>
    <w:p w:rsidR="00B504DE" w:rsidRPr="00B504DE" w:rsidRDefault="00B504DE" w:rsidP="00B504DE">
      <w:pPr>
        <w:spacing w:after="0" w:line="240" w:lineRule="auto"/>
        <w:jc w:val="center"/>
        <w:rPr>
          <w:rFonts w:ascii="Times New Roman" w:hAnsi="Times New Roman" w:cs="Times New Roman"/>
          <w:b/>
          <w:sz w:val="24"/>
          <w:szCs w:val="24"/>
        </w:rPr>
      </w:pPr>
      <w:r w:rsidRPr="00B504DE">
        <w:rPr>
          <w:rFonts w:ascii="Times New Roman" w:hAnsi="Times New Roman" w:cs="Times New Roman"/>
          <w:b/>
          <w:sz w:val="24"/>
          <w:szCs w:val="24"/>
        </w:rPr>
        <w:t>МАРТЫНОВСКОГО  СЕЛЬСОВЕТА</w:t>
      </w:r>
    </w:p>
    <w:p w:rsidR="00B504DE" w:rsidRPr="00B504DE" w:rsidRDefault="00B504DE" w:rsidP="00B504DE">
      <w:pPr>
        <w:pStyle w:val="1"/>
        <w:widowControl/>
        <w:tabs>
          <w:tab w:val="left" w:pos="9922"/>
        </w:tabs>
        <w:ind w:right="0"/>
        <w:rPr>
          <w:sz w:val="24"/>
          <w:szCs w:val="24"/>
        </w:rPr>
      </w:pPr>
      <w:r w:rsidRPr="00B504DE">
        <w:rPr>
          <w:sz w:val="24"/>
          <w:szCs w:val="24"/>
        </w:rPr>
        <w:t>Суджанского района</w:t>
      </w:r>
    </w:p>
    <w:p w:rsidR="00B504DE" w:rsidRPr="00B504DE" w:rsidRDefault="00B504DE" w:rsidP="00B504DE">
      <w:pPr>
        <w:pStyle w:val="1"/>
        <w:widowControl/>
        <w:tabs>
          <w:tab w:val="left" w:pos="9922"/>
        </w:tabs>
        <w:ind w:right="0"/>
        <w:rPr>
          <w:sz w:val="24"/>
          <w:szCs w:val="24"/>
        </w:rPr>
      </w:pPr>
      <w:r w:rsidRPr="00B504DE">
        <w:rPr>
          <w:sz w:val="24"/>
          <w:szCs w:val="24"/>
        </w:rPr>
        <w:t xml:space="preserve"> Курской области</w:t>
      </w:r>
    </w:p>
    <w:p w:rsidR="00B504DE" w:rsidRPr="00B504DE" w:rsidRDefault="00B504DE" w:rsidP="00B504DE">
      <w:pPr>
        <w:tabs>
          <w:tab w:val="left" w:pos="9922"/>
        </w:tabs>
        <w:ind w:right="-1"/>
        <w:jc w:val="center"/>
        <w:rPr>
          <w:rFonts w:ascii="Times New Roman" w:hAnsi="Times New Roman" w:cs="Times New Roman"/>
          <w:b/>
          <w:sz w:val="24"/>
          <w:szCs w:val="24"/>
        </w:rPr>
      </w:pPr>
    </w:p>
    <w:p w:rsidR="00B504DE" w:rsidRPr="00B504DE" w:rsidRDefault="00B504DE" w:rsidP="00B504DE">
      <w:pPr>
        <w:pStyle w:val="5"/>
        <w:tabs>
          <w:tab w:val="left" w:pos="9922"/>
        </w:tabs>
        <w:ind w:right="-1"/>
        <w:rPr>
          <w:spacing w:val="20"/>
          <w:sz w:val="24"/>
          <w:szCs w:val="24"/>
        </w:rPr>
      </w:pPr>
      <w:r w:rsidRPr="00B504DE">
        <w:rPr>
          <w:spacing w:val="20"/>
          <w:sz w:val="24"/>
          <w:szCs w:val="24"/>
        </w:rPr>
        <w:t>ПОСТАНОВЛЕНИЕ</w:t>
      </w:r>
    </w:p>
    <w:p w:rsidR="00B504DE" w:rsidRPr="00B504DE" w:rsidRDefault="00B504DE" w:rsidP="00B504DE">
      <w:pPr>
        <w:rPr>
          <w:rFonts w:ascii="Times New Roman" w:hAnsi="Times New Roman" w:cs="Times New Roman"/>
          <w:sz w:val="24"/>
          <w:szCs w:val="24"/>
        </w:rPr>
      </w:pPr>
    </w:p>
    <w:p w:rsidR="00B504DE" w:rsidRPr="00B504DE" w:rsidRDefault="009C55F4" w:rsidP="00B504DE">
      <w:pPr>
        <w:jc w:val="both"/>
        <w:rPr>
          <w:rFonts w:ascii="Times New Roman" w:hAnsi="Times New Roman" w:cs="Times New Roman"/>
          <w:sz w:val="24"/>
          <w:szCs w:val="24"/>
        </w:rPr>
      </w:pPr>
      <w:r>
        <w:rPr>
          <w:rFonts w:ascii="Times New Roman" w:hAnsi="Times New Roman" w:cs="Times New Roman"/>
          <w:sz w:val="24"/>
          <w:szCs w:val="24"/>
        </w:rPr>
        <w:t>28 июля</w:t>
      </w:r>
      <w:r w:rsidR="00B504DE" w:rsidRPr="00B504DE">
        <w:rPr>
          <w:rFonts w:ascii="Times New Roman" w:hAnsi="Times New Roman" w:cs="Times New Roman"/>
          <w:sz w:val="24"/>
          <w:szCs w:val="24"/>
        </w:rPr>
        <w:t xml:space="preserve"> 2014 года                                </w:t>
      </w:r>
      <w:r>
        <w:rPr>
          <w:rFonts w:ascii="Times New Roman" w:hAnsi="Times New Roman" w:cs="Times New Roman"/>
          <w:sz w:val="24"/>
          <w:szCs w:val="24"/>
        </w:rPr>
        <w:t xml:space="preserve">                            №45</w:t>
      </w:r>
    </w:p>
    <w:p w:rsidR="00B504DE" w:rsidRPr="00B504DE" w:rsidRDefault="00B504DE" w:rsidP="00B504DE">
      <w:pPr>
        <w:pStyle w:val="a3"/>
        <w:shd w:val="clear" w:color="auto" w:fill="FFFFFF"/>
        <w:jc w:val="center"/>
      </w:pPr>
    </w:p>
    <w:p w:rsidR="00B504DE" w:rsidRPr="00B504DE" w:rsidRDefault="00B504DE" w:rsidP="00B504DE">
      <w:pPr>
        <w:pStyle w:val="a3"/>
        <w:shd w:val="clear" w:color="auto" w:fill="FFFFFF"/>
        <w:jc w:val="center"/>
      </w:pPr>
      <w:r w:rsidRPr="00B504DE">
        <w:t>Об утверждении Порядка обоснования способа определения поставщика (подрядчика, исполнителя) для обеспечения муниципальных нужд Администрации</w:t>
      </w:r>
      <w:r w:rsidRPr="00B504DE">
        <w:br/>
      </w:r>
      <w:r>
        <w:t>Мартыновского  сельсовета Суджанского района  Курской области.</w:t>
      </w:r>
    </w:p>
    <w:p w:rsidR="00B504DE" w:rsidRDefault="00B504DE" w:rsidP="00B504DE">
      <w:pPr>
        <w:pStyle w:val="a3"/>
        <w:shd w:val="clear" w:color="auto" w:fill="FFFFFF"/>
      </w:pPr>
      <w:r w:rsidRPr="00B504DE">
        <w:t>В соответствии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r>
        <w:t xml:space="preserve"> Администрация Мартыновского сельсовета </w:t>
      </w:r>
      <w:r w:rsidRPr="00B504DE">
        <w:t xml:space="preserve"> п о с т а н о в л я </w:t>
      </w:r>
      <w:r>
        <w:t>е т</w:t>
      </w:r>
      <w:r w:rsidRPr="00B504DE">
        <w:t>:</w:t>
      </w:r>
      <w:r w:rsidRPr="00B504DE">
        <w:br/>
        <w:t>1. Утвердить Порядок обоснования способа определения поставщика (подрядчика, исполнителя) для обеспечения муниципальных нужд Администрации</w:t>
      </w:r>
      <w:r w:rsidRPr="00B504DE">
        <w:br/>
      </w:r>
      <w:r>
        <w:t xml:space="preserve">Мартыновского  сельсовета Суджанского района </w:t>
      </w:r>
    </w:p>
    <w:p w:rsidR="00B504DE" w:rsidRPr="00B504DE" w:rsidRDefault="00B504DE" w:rsidP="00B504DE">
      <w:pPr>
        <w:pStyle w:val="a3"/>
        <w:shd w:val="clear" w:color="auto" w:fill="FFFFFF"/>
      </w:pPr>
      <w:r w:rsidRPr="00B504DE">
        <w:t>2. Контроль за исполнением постановления оставляю за собой.</w:t>
      </w:r>
      <w:r w:rsidRPr="00B504DE">
        <w:br/>
        <w:t>3. Постановление вступает в силу с 1 января 2014 года.</w:t>
      </w:r>
    </w:p>
    <w:p w:rsidR="00B504DE" w:rsidRDefault="00B504DE" w:rsidP="00B504DE">
      <w:pPr>
        <w:pStyle w:val="a3"/>
        <w:shd w:val="clear" w:color="auto" w:fill="FFFFFF"/>
      </w:pPr>
      <w:r w:rsidRPr="00B504DE">
        <w:t xml:space="preserve">Глава </w:t>
      </w:r>
      <w:r>
        <w:t xml:space="preserve"> </w:t>
      </w:r>
    </w:p>
    <w:p w:rsidR="00B504DE" w:rsidRPr="00B504DE" w:rsidRDefault="00B504DE" w:rsidP="00B504DE">
      <w:pPr>
        <w:pStyle w:val="a3"/>
        <w:shd w:val="clear" w:color="auto" w:fill="FFFFFF"/>
      </w:pPr>
      <w:r>
        <w:t>Мартыновского сельсовета                                                    А.Н. Федорцов</w:t>
      </w:r>
    </w:p>
    <w:p w:rsidR="00B504DE" w:rsidRDefault="00B504DE" w:rsidP="00B504DE">
      <w:pPr>
        <w:pStyle w:val="a3"/>
        <w:shd w:val="clear" w:color="auto" w:fill="FFFFFF"/>
      </w:pPr>
      <w:r w:rsidRPr="00B504DE">
        <w:t> </w:t>
      </w:r>
    </w:p>
    <w:p w:rsidR="00B504DE" w:rsidRDefault="00B504DE" w:rsidP="00B504DE">
      <w:pPr>
        <w:pStyle w:val="a3"/>
        <w:shd w:val="clear" w:color="auto" w:fill="FFFFFF"/>
      </w:pPr>
    </w:p>
    <w:p w:rsidR="00B504DE" w:rsidRDefault="00B504DE" w:rsidP="00B504DE">
      <w:pPr>
        <w:pStyle w:val="a3"/>
        <w:shd w:val="clear" w:color="auto" w:fill="FFFFFF"/>
      </w:pPr>
    </w:p>
    <w:p w:rsidR="00B504DE" w:rsidRDefault="00B504DE" w:rsidP="00B504DE">
      <w:pPr>
        <w:pStyle w:val="a3"/>
        <w:shd w:val="clear" w:color="auto" w:fill="FFFFFF"/>
      </w:pPr>
    </w:p>
    <w:p w:rsidR="00B504DE" w:rsidRDefault="00B504DE" w:rsidP="00B504DE">
      <w:pPr>
        <w:pStyle w:val="a3"/>
        <w:shd w:val="clear" w:color="auto" w:fill="FFFFFF"/>
      </w:pPr>
    </w:p>
    <w:p w:rsidR="00B504DE" w:rsidRDefault="00B504DE" w:rsidP="00B504DE">
      <w:pPr>
        <w:pStyle w:val="a3"/>
        <w:shd w:val="clear" w:color="auto" w:fill="FFFFFF"/>
      </w:pPr>
    </w:p>
    <w:p w:rsidR="00B504DE" w:rsidRDefault="00B504DE" w:rsidP="00B504DE">
      <w:pPr>
        <w:pStyle w:val="a3"/>
        <w:shd w:val="clear" w:color="auto" w:fill="FFFFFF"/>
      </w:pPr>
    </w:p>
    <w:p w:rsidR="00B504DE" w:rsidRDefault="00B504DE" w:rsidP="00B504DE">
      <w:pPr>
        <w:pStyle w:val="a3"/>
        <w:shd w:val="clear" w:color="auto" w:fill="FFFFFF"/>
      </w:pPr>
      <w:r>
        <w:t xml:space="preserve"> </w:t>
      </w:r>
    </w:p>
    <w:p w:rsidR="00B504DE" w:rsidRPr="00B504DE" w:rsidRDefault="00B504DE" w:rsidP="00B504DE">
      <w:pPr>
        <w:pStyle w:val="a3"/>
        <w:shd w:val="clear" w:color="auto" w:fill="FFFFFF"/>
        <w:jc w:val="center"/>
        <w:rPr>
          <w:b/>
        </w:rPr>
      </w:pPr>
      <w:r w:rsidRPr="00B504DE">
        <w:rPr>
          <w:b/>
        </w:rPr>
        <w:lastRenderedPageBreak/>
        <w:t>Порядок обоснования способа определения поставщика (подрядчика, исполнителя) для обеспечения муниципальных нужд Администрации</w:t>
      </w:r>
      <w:r w:rsidRPr="00B504DE">
        <w:rPr>
          <w:b/>
        </w:rPr>
        <w:br/>
        <w:t>Мартыновского  сельсовета Суджанского района</w:t>
      </w:r>
    </w:p>
    <w:p w:rsidR="00B504DE" w:rsidRPr="00B504DE" w:rsidRDefault="00B504DE" w:rsidP="00B504DE">
      <w:pPr>
        <w:pStyle w:val="a3"/>
        <w:shd w:val="clear" w:color="auto" w:fill="FFFFFF"/>
      </w:pPr>
      <w:r w:rsidRPr="00B504DE">
        <w:t xml:space="preserve">1. Настоящий порядок обоснования способа определения поставщика (подрядчика, исполнителя) для обеспечения муниципальных нужд </w:t>
      </w:r>
      <w:r>
        <w:t xml:space="preserve">Администрации Мартыновского  сельсовета Суджанского района </w:t>
      </w:r>
      <w:r w:rsidRPr="00B504DE">
        <w:t xml:space="preserve"> (далее – Порядок) разработан в целях формирования единого подхода к определению и обоснованию муниципальными заказчиками способа определения поставщика (исполнителя, подрядчика) (далее – способ закупки) при планировании и осуществлении закупок для муниципальных нужд </w:t>
      </w:r>
      <w:r>
        <w:t xml:space="preserve">Администрации Мартыновского  сельсовета Суджанского района </w:t>
      </w:r>
      <w:r w:rsidRPr="00B504DE">
        <w:t>(далее – поселения) в соответствии с положениями Федерального закона от 05.04.2013г.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Pr="00B504DE">
        <w:rPr>
          <w:rStyle w:val="apple-converted-space"/>
        </w:rPr>
        <w:t> </w:t>
      </w:r>
      <w:r w:rsidRPr="00B504DE">
        <w:br/>
        <w:t>2. В целях осуществления закупок для муниципальных нужд поселения могут быть использова</w:t>
      </w:r>
      <w:r>
        <w:t>ны следующие способы закупки:</w:t>
      </w:r>
      <w:r>
        <w:br/>
        <w:t xml:space="preserve">открытый </w:t>
      </w:r>
      <w:r w:rsidRPr="00B504DE">
        <w:t>конкурс,</w:t>
      </w:r>
      <w:r w:rsidRPr="00B504DE">
        <w:rPr>
          <w:rStyle w:val="apple-converted-space"/>
        </w:rPr>
        <w:t> </w:t>
      </w:r>
      <w:r w:rsidRPr="00B504DE">
        <w:br/>
        <w:t>• конкурс с ограниченным участием,</w:t>
      </w:r>
      <w:r w:rsidRPr="00B504DE">
        <w:br/>
        <w:t>• двухэтапный конкурс,</w:t>
      </w:r>
      <w:r w:rsidRPr="00B504DE">
        <w:rPr>
          <w:rStyle w:val="apple-converted-space"/>
        </w:rPr>
        <w:t> </w:t>
      </w:r>
      <w:r w:rsidRPr="00B504DE">
        <w:br/>
        <w:t>• закрытый конкурс,</w:t>
      </w:r>
      <w:r w:rsidRPr="00B504DE">
        <w:rPr>
          <w:rStyle w:val="apple-converted-space"/>
        </w:rPr>
        <w:t> </w:t>
      </w:r>
      <w:r w:rsidRPr="00B504DE">
        <w:br/>
        <w:t>• закрытый конкурс с ограниченным участием,</w:t>
      </w:r>
      <w:r w:rsidRPr="00B504DE">
        <w:br/>
        <w:t>• закрытый двухэтапный конкурс),</w:t>
      </w:r>
      <w:r w:rsidRPr="00B504DE">
        <w:rPr>
          <w:rStyle w:val="apple-converted-space"/>
        </w:rPr>
        <w:t> </w:t>
      </w:r>
      <w:r w:rsidRPr="00B504DE">
        <w:br/>
        <w:t>• аукцион в электронной форме (далее - электронный аукцион),</w:t>
      </w:r>
      <w:r w:rsidRPr="00B504DE">
        <w:rPr>
          <w:rStyle w:val="apple-converted-space"/>
        </w:rPr>
        <w:t> </w:t>
      </w:r>
      <w:r w:rsidRPr="00B504DE">
        <w:br/>
        <w:t>• закрытый аукцион,</w:t>
      </w:r>
      <w:r w:rsidRPr="00B504DE">
        <w:rPr>
          <w:rStyle w:val="apple-converted-space"/>
        </w:rPr>
        <w:t> </w:t>
      </w:r>
      <w:r w:rsidRPr="00B504DE">
        <w:br/>
        <w:t>• запрос котировок,</w:t>
      </w:r>
      <w:r w:rsidRPr="00B504DE">
        <w:rPr>
          <w:rStyle w:val="apple-converted-space"/>
        </w:rPr>
        <w:t> </w:t>
      </w:r>
      <w:r w:rsidRPr="00B504DE">
        <w:br/>
        <w:t>• запрос предложений.</w:t>
      </w:r>
      <w:r w:rsidRPr="00B504DE">
        <w:br/>
        <w:t>3. Определение способа закупки осуществляется заказчиком в соответствии с пунктами 5.1-5.9 настоящего Порядка на основании следующих критериев выбора способа закупки:</w:t>
      </w:r>
      <w:r w:rsidRPr="00B504DE">
        <w:rPr>
          <w:rStyle w:val="apple-converted-space"/>
        </w:rPr>
        <w:t> </w:t>
      </w:r>
      <w:r w:rsidRPr="00B504DE">
        <w:br/>
        <w:t>4.1. предмет и условия исполнения контракта, заключаемого по результатам закупки;</w:t>
      </w:r>
      <w:r w:rsidRPr="00B504DE">
        <w:br/>
        <w:t>4.2. начальная (максимальная) цена контракта;</w:t>
      </w:r>
      <w:r w:rsidRPr="00B504DE">
        <w:br/>
        <w:t>4.3. критерии определения победителя;</w:t>
      </w:r>
      <w:r w:rsidRPr="00B504DE">
        <w:br/>
        <w:t>4.4. требуемый срок удовлетворения потребности в объекте закупки.</w:t>
      </w:r>
      <w:r w:rsidRPr="00B504DE">
        <w:br/>
        <w:t>Условия выбора способа закупки приведены в Приложении № 1 к настоящему Порядку.</w:t>
      </w:r>
      <w:r w:rsidRPr="00B504DE">
        <w:br/>
        <w:t>4. По результатам выбора способа закупки заказчик формирует Обоснование способа определения поставщика (подрядчика, исполнителя) по форме, приведенной в Приложении № 2 к настоящему Порядку.</w:t>
      </w:r>
      <w:r w:rsidRPr="00B504DE">
        <w:br/>
        <w:t>5. Выбор способа закупки</w:t>
      </w:r>
      <w:r w:rsidRPr="00B504DE">
        <w:br/>
        <w:t>5.1. Заказчик принимает решение об осуществлении закупки у единственного поставщика (подрядчика, исполнителя) в следующих случаях:</w:t>
      </w:r>
      <w:r w:rsidRPr="00B504DE">
        <w:br/>
        <w:t>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N 147-ФЗ "О естественных монополиях";</w:t>
      </w:r>
      <w:r w:rsidRPr="00B504DE">
        <w:br/>
        <w:t>2) Осуществление закупки товара, работы или услуги на сумму, не превышающую ста тысяч рублей;</w:t>
      </w:r>
      <w:r w:rsidRPr="00B504DE">
        <w:br/>
        <w:t xml:space="preserve">3) возникновение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 силы, возникновение необходимости срочного медицинского вмешательства (при условии, что такие товары, работы, услуги не включены в утвержденный Правительством Российской Федерации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и </w:t>
      </w:r>
      <w:r w:rsidRPr="00B504DE">
        <w:lastRenderedPageBreak/>
        <w:t>применение иных способов определения поставщика (подрядчика, исполнителя), требующих затрат времени, нецелесообразно (заказчик вправе заключить в соответствии с настоящим пунктом контракт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срочного медицинского вмешательства);</w:t>
      </w:r>
      <w:r w:rsidRPr="00B504DE">
        <w:rPr>
          <w:rStyle w:val="apple-converted-space"/>
        </w:rPr>
        <w:t> </w:t>
      </w:r>
      <w:r w:rsidRPr="00B504DE">
        <w:br/>
        <w:t>4) заключение контракта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настоящим Федеральным законом;</w:t>
      </w:r>
      <w:r w:rsidRPr="00B504DE">
        <w:br/>
        <w:t>5) заключение контракта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r w:rsidRPr="00B504DE">
        <w:br/>
        <w:t>6) заключение контракта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муниципальной собственности;</w:t>
      </w:r>
      <w:r w:rsidRPr="00B504DE">
        <w:br/>
        <w:t>7) заключение контракта 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r w:rsidRPr="00B504DE">
        <w:br/>
        <w:t>8) признание несостоявшимся определения поставщика (подрядчика, исполнителя) закрытым способом и принятие заказчиком в соответствии с положениями части 9 статьи 89 и статьи 92 Федерального закона № 44-ФЗ по согласованию с уполномоченным Правительством Российской Федерации на осуществление данных функций федеральным органом исполнительной власти решения об осуществлении закупки у единственного поставщика (подрядчика, исполнителя);</w:t>
      </w:r>
      <w:r w:rsidRPr="00B504DE">
        <w:br/>
        <w:t>9) признание несостоявшимися открытого конкурса, конкурса с ограниченным участием, двухэтапного конкурса, повторного конкурса, электронного аукциона, запроса котировок, запроса предложений и принятие заказчиком в соответствии с частями 1 и 7 статьи 55, частями 1 - 3 статьи 71, частями 1 и 3 статьи 79, частью 18 статьи 83 Федерального закона № 44-ФЗ решения об осуществлении закупки у единственного поставщика (подрядчика, исполнителя). Такое решение заказчика согласовывается при осуществлении закупок для обеспечения муниципальных нужд с федеральным органом исполнительной власти, уполномоченным на осуществление контроля в сфере закупок, или органом исполнительной власти субъекта Российской Федерации, органом местного самоуправления муниципального района, уполномоченными на осуществление контроля в сфере закупок;</w:t>
      </w:r>
      <w:r w:rsidRPr="00B504DE">
        <w:br/>
        <w:t>10) заключение контракта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r w:rsidRPr="00B504DE">
        <w:br/>
        <w:t xml:space="preserve">11) осуществление закупок товаров, работ, услуг в целях оказания гуманитарной помощи либо ликвидации последствий чрезвычайных ситуаций природного или техногенного характера при </w:t>
      </w:r>
      <w:r w:rsidRPr="00B504DE">
        <w:lastRenderedPageBreak/>
        <w:t>условии, что такие товары, работы, услуги не включены в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установленный Правительством Российской Федерации, и применение иных способов закупки нецелесообразно в связи с затратой времени.</w:t>
      </w:r>
      <w:r w:rsidRPr="00B504DE">
        <w:br/>
        <w:t>5.2. Решение о проведении запроса предложений принимается в случаях:</w:t>
      </w:r>
      <w:r w:rsidRPr="00B504DE">
        <w:br/>
        <w:t>1) заключения договора энергоснабжения или договора купли-продажи электрической энергии с гарантирующим поставщиком электрической энергии;</w:t>
      </w:r>
      <w:r w:rsidRPr="00B504DE">
        <w:rPr>
          <w:rStyle w:val="apple-converted-space"/>
        </w:rPr>
        <w:t> </w:t>
      </w:r>
      <w:r w:rsidRPr="00B504DE">
        <w:br/>
        <w:t>2) осуществления закупки товара, работы или услуги, являющихся предметом контракта, в отношении которого заказчиком принято решение об одностороннем отказе от исполнения такого контракта в соответствии с гражданским законодательством;</w:t>
      </w:r>
      <w:r w:rsidRPr="00B504DE">
        <w:br/>
        <w:t>3) признания не состоявшимися</w:t>
      </w:r>
      <w:r w:rsidRPr="00B504DE">
        <w:rPr>
          <w:rStyle w:val="apple-converted-space"/>
        </w:rPr>
        <w:t> </w:t>
      </w:r>
      <w:r w:rsidRPr="00B504DE">
        <w:br/>
        <w:t>- повторного конкурса (по основаниям: а) по окончании срока подачи заявок подана только одна заявка, при этом такая заявка признана соответствующей требованиям Федерального закона № 44-ФЗ и конкурсной документации; б) по результатам рассмотрения заявок на участие в конкурсе только одна заявка признана соответствующей требованиям Федерального закона № 44-ФЗ и конкурсной документации; в)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w:t>
      </w:r>
      <w:r w:rsidRPr="00B504DE">
        <w:rPr>
          <w:rStyle w:val="apple-converted-space"/>
        </w:rPr>
        <w:t> </w:t>
      </w:r>
      <w:r w:rsidRPr="00B504DE">
        <w:br/>
        <w:t>- электронного аукциона (по основаниям: а) по окончании срока подачи заявок на участие в электронном аукционе подана только одна заявка или не подано ни одной заявки; б)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w:t>
      </w:r>
    </w:p>
    <w:p w:rsidR="00B504DE" w:rsidRPr="00B504DE" w:rsidRDefault="00B504DE" w:rsidP="00B504DE">
      <w:pPr>
        <w:pStyle w:val="a3"/>
        <w:shd w:val="clear" w:color="auto" w:fill="FFFFFF"/>
        <w:jc w:val="both"/>
      </w:pPr>
      <w:r w:rsidRPr="00B504DE">
        <w:t xml:space="preserve">5.2.1. </w:t>
      </w:r>
      <w:r w:rsidR="009C55F4">
        <w:t>П</w:t>
      </w:r>
      <w:r w:rsidRPr="00B504DE">
        <w:t>роведение конкурентных процедур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конкурентных закупок, в связи с затратой времени, отсутствие заинтересованности в получении заказа со стороны потенциальных поставщиков (исполнителей, подрядчиков).</w:t>
      </w:r>
      <w:r w:rsidRPr="00B504DE">
        <w:br/>
        <w:t>5.3. При осуществлении закупки в целях оказания гуманитарной помощи либо ликвидации последствий чрезвычайных ситуаций природного или техногенного характера принимается решение о проведении запроса котировок в целях оказания гуманитарной помощи либо ликвидации последствий чрезвычайных ситуаций природного или техногенного характера при условии, что закупаемые товары, работы, услуги включены в Перечень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установленный Правительством Российской Федерации. В случае, если товары, работы, услуги, закупаемые в целях оказания гуманитарной помощи либо ликвидации последствий чрезвычайных ситуаций природного или техногенного характера, не включены в указанный перечень, при возникновении необходимости закупки таких товаров вследствие непреодолимой силы, при условии, что применение иных способов закупки нецелесообразно в связи с затратой времени, заказчик принимает решение о закупке у единственного поставщика (подрядчика, исполнителя). В иных случаях закупки в целях оказания гуманитарной помощи либо ликвидации последствий чрезвычайных ситуаций природного или техногенного характера способ закупки определяется в соответствии с настоящим Порядком.</w:t>
      </w:r>
      <w:r w:rsidRPr="00B504DE">
        <w:br/>
        <w:t xml:space="preserve">5.4. При осуществлении закупки товаров, работ, услуг, включенных в 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w:t>
      </w:r>
      <w:r w:rsidRPr="00B504DE">
        <w:lastRenderedPageBreak/>
        <w:t>высшим исполнительным органом государственной власти субъекта Российской Федерации, на сумму, превышающую пятьсот тысяч рублей, заказчик принимает решение о проведении электронного аукциона.</w:t>
      </w:r>
      <w:r w:rsidRPr="00B504DE">
        <w:br/>
        <w:t>5.5. При осуществлении закупки товаров, работ, услуг, включенных в 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 на сумму от ста тысяч рублей до пятисот тысяч рублей, заказчик принимает решение о проведении запроса котировок при условии, что совокупный годовой объем закупок, производимых заказчиком путем проведения запроса котировок, не превышает десять процентов размера средств, предусмотренных на осуществление всех закупок заказчика; совокупный годовой объем производимых заказчиком закупок путем проведения запроса котировок не превышает сто миллионов рублей в год, проведение электронного аукциона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r w:rsidRPr="00B504DE">
        <w:br/>
        <w:t>5.6. В случаях, не предусмотренных пунктами 5.1-5.6 настоящего Порядка, при осуществлении закупок, когда единственным критерием определения победителя является цена контракта, заказчик принимает решение о закупке путем проведения электронного аукциона, за исключением случая, когда начальная (максимальная) цена контракта не превышает пятьсот тысяч рублей. В последнем случае заказчик принимает решение о проведении запроса котировок при условии, что совокупный годовой объем закупок производимых заказчиком путем проведения запроса котировок не превышает десять процентов размера средств, предусмотренных на осуществление всех закупок заказчика; совокупный годовой объем производимых заказчиком закупок путем проведения запроса котировок не превышает сто миллионов рублей в год, проведение электронного аукциона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r w:rsidRPr="00B504DE">
        <w:br/>
        <w:t>5.7. В случаях, не предусмотренных пунктами 5.1-5.7 настоящего Порядка, заказчик принимает решение о проведении конкурса.</w:t>
      </w:r>
      <w:r w:rsidRPr="00B504DE">
        <w:br/>
        <w:t>5.7.1. При осуществлении закупок в соответствии с Перечнем случаев и (или) порядком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установленным Правительством Российской Федерации, заказчик принимает решение о проведении конкурса с ограниченным участием;</w:t>
      </w:r>
      <w:r w:rsidRPr="00B504DE">
        <w:br/>
        <w:t>5.7.2. Заказчик принимает решение о проведении двухэтапного конкурса при одновременном соблюдении следующих условий:</w:t>
      </w:r>
      <w:r w:rsidRPr="00B504DE">
        <w:br/>
        <w:t>1)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r w:rsidRPr="00B504DE">
        <w:br/>
        <w:t>2) для уточнения характеристик объекта закупки необходимо провести его обсуждение с участниками закупки.</w:t>
      </w:r>
      <w:r w:rsidRPr="00B504DE">
        <w:br/>
        <w:t xml:space="preserve">5.7.3. В случаях, не предусмотренных пунктами 5.1-5.7 настоящего Порядка, за исключением </w:t>
      </w:r>
      <w:r w:rsidRPr="00B504DE">
        <w:lastRenderedPageBreak/>
        <w:t>случаев, указанных в подпунктах 5.7.1, 5.7.2 настоящего пункта, заказчик принимает решение о проведении открытого конкурса.</w:t>
      </w:r>
    </w:p>
    <w:p w:rsidR="00B504DE" w:rsidRDefault="00B504DE" w:rsidP="00B504DE">
      <w:pPr>
        <w:tabs>
          <w:tab w:val="left" w:pos="3960"/>
          <w:tab w:val="left" w:pos="4500"/>
          <w:tab w:val="left" w:pos="6075"/>
        </w:tabs>
        <w:jc w:val="right"/>
        <w:sectPr w:rsidR="00B504DE" w:rsidSect="00B504DE">
          <w:headerReference w:type="default" r:id="rId7"/>
          <w:pgSz w:w="11906" w:h="16838"/>
          <w:pgMar w:top="680" w:right="851" w:bottom="1134" w:left="851" w:header="1701" w:footer="244" w:gutter="0"/>
          <w:cols w:space="720"/>
        </w:sectPr>
      </w:pPr>
    </w:p>
    <w:p w:rsidR="00B504DE" w:rsidRPr="009C55F4" w:rsidRDefault="00B504DE" w:rsidP="00B504DE">
      <w:pPr>
        <w:tabs>
          <w:tab w:val="left" w:pos="3960"/>
          <w:tab w:val="left" w:pos="4500"/>
          <w:tab w:val="left" w:pos="6075"/>
        </w:tabs>
        <w:jc w:val="right"/>
        <w:rPr>
          <w:rFonts w:ascii="Times New Roman" w:hAnsi="Times New Roman" w:cs="Times New Roman"/>
        </w:rPr>
      </w:pPr>
      <w:r>
        <w:lastRenderedPageBreak/>
        <w:t xml:space="preserve">                          </w:t>
      </w:r>
      <w:r w:rsidR="009C55F4">
        <w:t xml:space="preserve">                              </w:t>
      </w:r>
      <w:r w:rsidRPr="009C55F4">
        <w:rPr>
          <w:rFonts w:ascii="Times New Roman" w:hAnsi="Times New Roman" w:cs="Times New Roman"/>
        </w:rPr>
        <w:t>Приложение №1</w:t>
      </w:r>
    </w:p>
    <w:p w:rsidR="00B504DE" w:rsidRPr="009C55F4" w:rsidRDefault="00B504DE" w:rsidP="00B504DE">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к Порядку обоснования способа </w:t>
      </w:r>
    </w:p>
    <w:p w:rsidR="00B504DE" w:rsidRPr="009C55F4" w:rsidRDefault="00B504DE" w:rsidP="00B504DE">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определения поставщика (подрядчика, исполнителя) </w:t>
      </w:r>
    </w:p>
    <w:p w:rsidR="00B504DE" w:rsidRDefault="00B504DE" w:rsidP="009C55F4">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для обеспечения муниципальных нужд  </w:t>
      </w:r>
      <w:r w:rsidR="009C55F4" w:rsidRPr="009C55F4">
        <w:rPr>
          <w:rFonts w:ascii="Times New Roman" w:hAnsi="Times New Roman" w:cs="Times New Roman"/>
          <w:sz w:val="24"/>
          <w:szCs w:val="24"/>
        </w:rPr>
        <w:t>Администрации</w:t>
      </w:r>
      <w:r w:rsidR="009C55F4" w:rsidRPr="009C55F4">
        <w:rPr>
          <w:rFonts w:ascii="Times New Roman" w:hAnsi="Times New Roman" w:cs="Times New Roman"/>
          <w:sz w:val="24"/>
          <w:szCs w:val="24"/>
        </w:rPr>
        <w:br/>
      </w:r>
      <w:r w:rsidR="009C55F4" w:rsidRPr="009C55F4">
        <w:rPr>
          <w:rFonts w:ascii="Times New Roman" w:hAnsi="Times New Roman" w:cs="Times New Roman"/>
        </w:rPr>
        <w:t>Мартыновского  сельсовета Суджанского района</w:t>
      </w:r>
    </w:p>
    <w:p w:rsidR="009C55F4" w:rsidRPr="009C55F4" w:rsidRDefault="009C55F4" w:rsidP="009C55F4">
      <w:pPr>
        <w:widowControl w:val="0"/>
        <w:autoSpaceDE w:val="0"/>
        <w:autoSpaceDN w:val="0"/>
        <w:adjustRightInd w:val="0"/>
        <w:spacing w:line="20" w:lineRule="atLeast"/>
        <w:ind w:firstLine="539"/>
        <w:contextualSpacing/>
        <w:jc w:val="right"/>
        <w:rPr>
          <w:rFonts w:ascii="Times New Roman" w:hAnsi="Times New Roman" w:cs="Times New Roman"/>
        </w:rPr>
      </w:pPr>
    </w:p>
    <w:p w:rsidR="00B504DE" w:rsidRPr="009C55F4" w:rsidRDefault="00B504DE" w:rsidP="009C55F4">
      <w:pPr>
        <w:widowControl w:val="0"/>
        <w:autoSpaceDE w:val="0"/>
        <w:autoSpaceDN w:val="0"/>
        <w:adjustRightInd w:val="0"/>
        <w:spacing w:line="20" w:lineRule="atLeast"/>
        <w:ind w:firstLine="539"/>
        <w:contextualSpacing/>
        <w:jc w:val="center"/>
        <w:rPr>
          <w:rFonts w:ascii="Times New Roman" w:hAnsi="Times New Roman" w:cs="Times New Roman"/>
          <w:b/>
          <w:sz w:val="28"/>
          <w:szCs w:val="24"/>
        </w:rPr>
      </w:pPr>
      <w:r w:rsidRPr="009C55F4">
        <w:rPr>
          <w:rFonts w:ascii="Times New Roman" w:hAnsi="Times New Roman" w:cs="Times New Roman"/>
          <w:b/>
        </w:rPr>
        <w:t xml:space="preserve">Условия применения способов определения поставщика (подрядчика, исполнителя) </w:t>
      </w:r>
      <w:r w:rsidRPr="009C55F4">
        <w:rPr>
          <w:rFonts w:ascii="Times New Roman" w:hAnsi="Times New Roman" w:cs="Times New Roman"/>
          <w:b/>
          <w:szCs w:val="28"/>
        </w:rPr>
        <w:t xml:space="preserve">для обеспечения муниципальных нужд  </w:t>
      </w:r>
      <w:r w:rsidR="009C55F4" w:rsidRPr="009C55F4">
        <w:rPr>
          <w:rFonts w:ascii="Times New Roman" w:hAnsi="Times New Roman" w:cs="Times New Roman"/>
          <w:b/>
          <w:sz w:val="24"/>
          <w:szCs w:val="24"/>
        </w:rPr>
        <w:t>Администрации</w:t>
      </w:r>
      <w:r w:rsidR="009C55F4" w:rsidRPr="009C55F4">
        <w:rPr>
          <w:rFonts w:ascii="Times New Roman" w:hAnsi="Times New Roman" w:cs="Times New Roman"/>
          <w:b/>
          <w:sz w:val="24"/>
          <w:szCs w:val="24"/>
        </w:rPr>
        <w:br/>
      </w:r>
      <w:r w:rsidR="009C55F4" w:rsidRPr="009C55F4">
        <w:rPr>
          <w:rFonts w:ascii="Times New Roman" w:hAnsi="Times New Roman" w:cs="Times New Roman"/>
          <w:b/>
        </w:rPr>
        <w:t>Мартыновского  сельсовета Суджанского района</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3"/>
        <w:gridCol w:w="1983"/>
        <w:gridCol w:w="1984"/>
        <w:gridCol w:w="1559"/>
        <w:gridCol w:w="1877"/>
        <w:gridCol w:w="2801"/>
      </w:tblGrid>
      <w:tr w:rsidR="00B504DE" w:rsidTr="00D93C15">
        <w:trPr>
          <w:tblHeader/>
        </w:trPr>
        <w:tc>
          <w:tcPr>
            <w:tcW w:w="521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Предмет контракта</w:t>
            </w:r>
          </w:p>
        </w:tc>
        <w:tc>
          <w:tcPr>
            <w:tcW w:w="198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Возможные способы закупки</w:t>
            </w:r>
          </w:p>
        </w:tc>
        <w:tc>
          <w:tcPr>
            <w:tcW w:w="8221" w:type="dxa"/>
            <w:gridSpan w:val="4"/>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Условия применения</w:t>
            </w:r>
          </w:p>
        </w:tc>
      </w:tr>
      <w:tr w:rsidR="00B504DE" w:rsidTr="00D93C15">
        <w:trPr>
          <w:tblHeader/>
        </w:trPr>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Цена контракта</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Критерии оценки</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Наличие в «Аукционном перечне»</w:t>
            </w:r>
            <w:r>
              <w:rPr>
                <w:rStyle w:val="a9"/>
                <w:rFonts w:ascii="Times New Roman" w:hAnsi="Times New Roman"/>
                <w:b/>
                <w:sz w:val="28"/>
                <w:szCs w:val="24"/>
              </w:rPr>
              <w:footnoteReference w:id="2"/>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Специальные</w:t>
            </w:r>
          </w:p>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условия</w:t>
            </w:r>
          </w:p>
        </w:tc>
      </w:tr>
      <w:tr w:rsidR="00B504DE" w:rsidTr="00D93C15">
        <w:tc>
          <w:tcPr>
            <w:tcW w:w="521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both"/>
              <w:rPr>
                <w:rFonts w:ascii="Times New Roman" w:hAnsi="Times New Roman"/>
                <w:sz w:val="28"/>
                <w:szCs w:val="24"/>
              </w:rPr>
            </w:pPr>
            <w:r>
              <w:rPr>
                <w:rFonts w:ascii="Times New Roman" w:hAnsi="Times New Roman"/>
                <w:sz w:val="28"/>
                <w:szCs w:val="24"/>
              </w:rPr>
              <w:t>Случаи закупки у единственного поставщика (подрядчика, исполнителя), предусмотренные ч.1 ст. 93 Федерального закона № 44-ФЗ, за исключением п. 4 ч.1 ст. 93 – закупок «малого объема»</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Закупка у единственного поставщика (подрядчика, исполнителя)</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да/нет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w:t>
            </w:r>
          </w:p>
        </w:tc>
      </w:tr>
      <w:tr w:rsidR="00B504DE" w:rsidTr="00D93C15">
        <w:tc>
          <w:tcPr>
            <w:tcW w:w="5213" w:type="dxa"/>
            <w:tcBorders>
              <w:top w:val="single" w:sz="4" w:space="0" w:color="auto"/>
              <w:left w:val="single" w:sz="4" w:space="0" w:color="auto"/>
              <w:bottom w:val="single" w:sz="4" w:space="0" w:color="auto"/>
              <w:right w:val="single" w:sz="4" w:space="0" w:color="auto"/>
            </w:tcBorders>
          </w:tcPr>
          <w:p w:rsidR="00B504DE" w:rsidRDefault="00B504DE" w:rsidP="00D93C15">
            <w:pPr>
              <w:widowControl w:val="0"/>
              <w:autoSpaceDE w:val="0"/>
              <w:autoSpaceDN w:val="0"/>
              <w:adjustRightInd w:val="0"/>
              <w:spacing w:line="20" w:lineRule="atLeast"/>
              <w:contextualSpacing/>
              <w:jc w:val="both"/>
              <w:rPr>
                <w:lang w:eastAsia="en-US"/>
              </w:rPr>
            </w:pPr>
            <w:r>
              <w:rPr>
                <w:rFonts w:cs="Calibri"/>
              </w:rPr>
              <w:t xml:space="preserve">1) </w:t>
            </w:r>
            <w:r>
              <w:t>заключения договора энергоснабжения или договора купли-продажи электрической энергии с гарантирующим поставщиком электрической энергии;</w:t>
            </w:r>
          </w:p>
          <w:p w:rsidR="00B504DE" w:rsidRDefault="00B504DE" w:rsidP="00D93C15">
            <w:pPr>
              <w:widowControl w:val="0"/>
              <w:autoSpaceDE w:val="0"/>
              <w:autoSpaceDN w:val="0"/>
              <w:adjustRightInd w:val="0"/>
              <w:spacing w:line="20" w:lineRule="atLeast"/>
              <w:contextualSpacing/>
              <w:jc w:val="both"/>
            </w:pPr>
            <w:r>
              <w:t xml:space="preserve"> </w:t>
            </w:r>
          </w:p>
          <w:p w:rsidR="00B504DE" w:rsidRDefault="00B504DE" w:rsidP="00D93C15">
            <w:pPr>
              <w:widowControl w:val="0"/>
              <w:autoSpaceDE w:val="0"/>
              <w:autoSpaceDN w:val="0"/>
              <w:adjustRightInd w:val="0"/>
              <w:spacing w:line="20" w:lineRule="atLeast"/>
              <w:contextualSpacing/>
              <w:jc w:val="both"/>
            </w:pPr>
            <w:r>
              <w:t xml:space="preserve">2) осуществления закупки товара, работы или услуги, являющихся предметом контракта, в отношении которого заказчиком принято решение </w:t>
            </w:r>
            <w:r>
              <w:lastRenderedPageBreak/>
              <w:t>об одностороннем отказе от исполнения такого контракта в соответствии с гражданским законодательством;</w:t>
            </w:r>
          </w:p>
          <w:p w:rsidR="00B504DE" w:rsidRDefault="00B504DE" w:rsidP="00D93C15">
            <w:pPr>
              <w:widowControl w:val="0"/>
              <w:autoSpaceDE w:val="0"/>
              <w:autoSpaceDN w:val="0"/>
              <w:adjustRightInd w:val="0"/>
              <w:spacing w:line="20" w:lineRule="atLeast"/>
              <w:contextualSpacing/>
              <w:jc w:val="both"/>
            </w:pPr>
            <w:r>
              <w:t xml:space="preserve">3) признания не состоявшимися повторного конкурса (по основаниям: а) по окончании срока подачи заявок  подана только одна заявка, при этом такая заявка признана соответствующей требованиям Федерального закона № 44-ФЗ и конкурсной документации; б) по результатам рассмотрения заявок на участие в конкурсе только одна заявка признана соответствующей требованиям Федерального закона № 44-ФЗ и конкурсной документации; в) по результатам предквалификационного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настоящего Федерального закона, конкурсной документации) </w:t>
            </w:r>
          </w:p>
          <w:p w:rsidR="00B504DE" w:rsidRDefault="00B504DE" w:rsidP="00D93C15">
            <w:pPr>
              <w:widowControl w:val="0"/>
              <w:autoSpaceDE w:val="0"/>
              <w:autoSpaceDN w:val="0"/>
              <w:adjustRightInd w:val="0"/>
              <w:spacing w:line="20" w:lineRule="atLeast"/>
              <w:contextualSpacing/>
              <w:jc w:val="both"/>
            </w:pPr>
            <w:r>
              <w:t xml:space="preserve">или  электронного аукциона (по основаниям: а) по окончании срока подачи заявок на участие в электронном аукционе подана только одна заявка или не подано ни одной заявки; б) по результатам рассмотрения первых частей заявок на участие в электронном аукционе аукционная комиссия приняла решение об отказе в допуске к участию в таком аукционе всех участников закупки, подавших </w:t>
            </w:r>
            <w:r>
              <w:lastRenderedPageBreak/>
              <w:t>заявки на участие в нем, или о признании только одного участника закупки, подавшего заявку на участие в таком аукционе, его участником);</w:t>
            </w:r>
          </w:p>
          <w:p w:rsidR="00B504DE" w:rsidRDefault="00B504DE" w:rsidP="00D93C15">
            <w:pPr>
              <w:spacing w:line="20" w:lineRule="atLeast"/>
              <w:contextualSpacing/>
              <w:jc w:val="both"/>
            </w:pPr>
            <w:r>
              <w:t>5) осуществления закупок изделий народных художественных промыслов,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B504DE" w:rsidRDefault="00B504DE" w:rsidP="00D93C15">
            <w:pPr>
              <w:pStyle w:val="a8"/>
              <w:spacing w:after="0" w:line="20" w:lineRule="atLeast"/>
              <w:ind w:left="0"/>
              <w:jc w:val="center"/>
              <w:rPr>
                <w:rFonts w:ascii="Times New Roman" w:hAnsi="Times New Roman"/>
                <w:b/>
                <w:sz w:val="28"/>
                <w:szCs w:val="24"/>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lastRenderedPageBreak/>
              <w:t>Запрос предложений</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да/нет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w:t>
            </w:r>
          </w:p>
        </w:tc>
      </w:tr>
      <w:tr w:rsidR="00B504DE" w:rsidTr="00D93C15">
        <w:tc>
          <w:tcPr>
            <w:tcW w:w="521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rPr>
                <w:rFonts w:ascii="Times New Roman" w:hAnsi="Times New Roman"/>
                <w:sz w:val="28"/>
                <w:szCs w:val="24"/>
              </w:rPr>
            </w:pPr>
            <w:r>
              <w:rPr>
                <w:rFonts w:ascii="Times New Roman" w:hAnsi="Times New Roman"/>
                <w:sz w:val="28"/>
                <w:szCs w:val="24"/>
              </w:rPr>
              <w:lastRenderedPageBreak/>
              <w:t>Любой</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sz w:val="28"/>
                <w:szCs w:val="24"/>
              </w:rPr>
              <w:t>Закупка у единственного поставщика (подрядчика, исполнителя)</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до 100 000 рублей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да/нет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1"/>
              <w:jc w:val="both"/>
              <w:rPr>
                <w:rFonts w:ascii="Times New Roman" w:hAnsi="Times New Roman"/>
                <w:b/>
                <w:sz w:val="28"/>
                <w:szCs w:val="24"/>
              </w:rPr>
            </w:pPr>
            <w:r>
              <w:rPr>
                <w:rFonts w:ascii="Times New Roman" w:hAnsi="Times New Roman"/>
                <w:sz w:val="28"/>
                <w:szCs w:val="24"/>
              </w:rPr>
              <w:t xml:space="preserve">5.3.1. проведение конкурентных процедур нецелесообразно,  в том числе по следующим причинам:  отсутствие возможности получения экономии средств за счет повышения конкуренции посредством </w:t>
            </w:r>
            <w:r>
              <w:rPr>
                <w:rFonts w:ascii="Times New Roman" w:hAnsi="Times New Roman"/>
                <w:sz w:val="28"/>
                <w:szCs w:val="24"/>
              </w:rPr>
              <w:lastRenderedPageBreak/>
              <w:t>проведения конкурентных закупок, в связи с затратой времени, отсутствие заинтересованности в получении заказа со стороны потенциальных поставщиков (исполнителей, подрядчиков).</w:t>
            </w:r>
          </w:p>
          <w:p w:rsidR="00B504DE" w:rsidRDefault="00B504DE" w:rsidP="00D93C15">
            <w:pPr>
              <w:spacing w:line="20" w:lineRule="atLeast"/>
              <w:contextualSpacing/>
              <w:jc w:val="both"/>
              <w:rPr>
                <w:b/>
                <w:lang w:eastAsia="en-US"/>
              </w:rPr>
            </w:pPr>
          </w:p>
        </w:tc>
      </w:tr>
      <w:tr w:rsidR="00B504DE" w:rsidTr="00D93C15">
        <w:tc>
          <w:tcPr>
            <w:tcW w:w="521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sz w:val="28"/>
                <w:szCs w:val="24"/>
              </w:rPr>
              <w:lastRenderedPageBreak/>
              <w:t>Закупки в целях оказания гуманитарной помощи либо ликвидации последствий чрезвычайных ситуаций природного или техногенного характера</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 xml:space="preserve">Запрос котировок в целях оказания гуманитарной помощи либо ликвидации последствий чрезвычайных ситуаций </w:t>
            </w:r>
            <w:r>
              <w:rPr>
                <w:rFonts w:ascii="Times New Roman" w:hAnsi="Times New Roman"/>
                <w:sz w:val="28"/>
                <w:szCs w:val="24"/>
              </w:rPr>
              <w:lastRenderedPageBreak/>
              <w:t>природного или техногенного характера</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lastRenderedPageBreak/>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sz w:val="24"/>
                <w:lang w:eastAsia="en-US"/>
              </w:rPr>
            </w:pPr>
            <w:r>
              <w:t>да/нет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both"/>
              <w:rPr>
                <w:rFonts w:ascii="Times New Roman" w:hAnsi="Times New Roman"/>
                <w:sz w:val="28"/>
                <w:szCs w:val="24"/>
              </w:rPr>
            </w:pPr>
            <w:r>
              <w:rPr>
                <w:rFonts w:ascii="Times New Roman" w:hAnsi="Times New Roman"/>
                <w:sz w:val="28"/>
                <w:szCs w:val="24"/>
              </w:rPr>
              <w:t xml:space="preserve">Наличие в Перечне товаров, работ, услуг, необходимых для оказания гуманитарной помощи либо ликвидации последствий чрезвычайных ситуаций </w:t>
            </w:r>
            <w:r>
              <w:rPr>
                <w:rFonts w:ascii="Times New Roman" w:hAnsi="Times New Roman"/>
                <w:sz w:val="28"/>
                <w:szCs w:val="24"/>
              </w:rPr>
              <w:lastRenderedPageBreak/>
              <w:t>природного или техногенного характера, установленный Правительством Российской Федерации</w:t>
            </w:r>
          </w:p>
        </w:tc>
      </w:tr>
      <w:tr w:rsidR="00B504DE" w:rsidTr="00D93C15">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Закупка у единственного поставщика (подрядчика, исполнителя)</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sz w:val="24"/>
                <w:lang w:eastAsia="en-US"/>
              </w:rPr>
            </w:pPr>
            <w:r>
              <w:t>да/нет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B504DE">
            <w:pPr>
              <w:pStyle w:val="a8"/>
              <w:numPr>
                <w:ilvl w:val="0"/>
                <w:numId w:val="1"/>
              </w:numPr>
              <w:spacing w:after="0" w:line="20" w:lineRule="atLeast"/>
              <w:ind w:left="85" w:hanging="59"/>
              <w:jc w:val="both"/>
              <w:rPr>
                <w:rFonts w:ascii="Times New Roman" w:hAnsi="Times New Roman"/>
                <w:sz w:val="28"/>
                <w:szCs w:val="24"/>
              </w:rPr>
            </w:pPr>
            <w:r>
              <w:rPr>
                <w:rFonts w:ascii="Times New Roman" w:hAnsi="Times New Roman"/>
                <w:sz w:val="28"/>
                <w:szCs w:val="24"/>
              </w:rPr>
              <w:t xml:space="preserve">отсутствие  в Перечне товаров, работ, услуг, необходимых для оказания гуманитарной помощи либо ликвидации последствий чрезвычайных ситуаций природного или техногенного характера, установленный Правительством </w:t>
            </w:r>
            <w:r>
              <w:rPr>
                <w:rFonts w:ascii="Times New Roman" w:hAnsi="Times New Roman"/>
                <w:sz w:val="28"/>
                <w:szCs w:val="24"/>
              </w:rPr>
              <w:lastRenderedPageBreak/>
              <w:t>Российской Федерации</w:t>
            </w:r>
          </w:p>
          <w:p w:rsidR="00B504DE" w:rsidRDefault="00B504DE" w:rsidP="00B504DE">
            <w:pPr>
              <w:pStyle w:val="a8"/>
              <w:numPr>
                <w:ilvl w:val="0"/>
                <w:numId w:val="1"/>
              </w:numPr>
              <w:spacing w:after="0" w:line="20" w:lineRule="atLeast"/>
              <w:ind w:left="85" w:hanging="59"/>
              <w:jc w:val="both"/>
              <w:rPr>
                <w:rFonts w:ascii="Times New Roman" w:hAnsi="Times New Roman"/>
                <w:sz w:val="28"/>
                <w:szCs w:val="24"/>
              </w:rPr>
            </w:pPr>
            <w:r>
              <w:rPr>
                <w:rFonts w:ascii="Times New Roman" w:hAnsi="Times New Roman"/>
                <w:sz w:val="28"/>
                <w:szCs w:val="24"/>
              </w:rPr>
              <w:t>Необходимость возникла вследствие непреодолимой силы, при условии, что применение иных способов закупки нецелесообразно в связи с затратой времени</w:t>
            </w:r>
          </w:p>
          <w:p w:rsidR="00B504DE" w:rsidRDefault="00B504DE" w:rsidP="00D93C15">
            <w:pPr>
              <w:pStyle w:val="a8"/>
              <w:spacing w:after="0" w:line="20" w:lineRule="atLeast"/>
              <w:ind w:left="0"/>
              <w:jc w:val="both"/>
              <w:rPr>
                <w:rFonts w:ascii="Times New Roman" w:hAnsi="Times New Roman"/>
                <w:b/>
                <w:sz w:val="28"/>
                <w:szCs w:val="24"/>
              </w:rPr>
            </w:pPr>
          </w:p>
        </w:tc>
      </w:tr>
      <w:tr w:rsidR="00B504DE" w:rsidTr="00D93C15">
        <w:tc>
          <w:tcPr>
            <w:tcW w:w="521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Иной способ</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любые</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sz w:val="24"/>
                <w:lang w:eastAsia="en-US"/>
              </w:rPr>
            </w:pPr>
            <w:r>
              <w:t>да/нет</w:t>
            </w:r>
          </w:p>
        </w:tc>
        <w:tc>
          <w:tcPr>
            <w:tcW w:w="2801" w:type="dxa"/>
            <w:tcBorders>
              <w:top w:val="single" w:sz="4" w:space="0" w:color="auto"/>
              <w:left w:val="single" w:sz="4" w:space="0" w:color="auto"/>
              <w:bottom w:val="single" w:sz="4" w:space="0" w:color="auto"/>
              <w:right w:val="single" w:sz="4" w:space="0" w:color="auto"/>
            </w:tcBorders>
          </w:tcPr>
          <w:p w:rsidR="00B504DE" w:rsidRPr="00586A0D" w:rsidRDefault="00B504DE" w:rsidP="00D93C15">
            <w:pPr>
              <w:pStyle w:val="a8"/>
              <w:spacing w:after="0" w:line="20" w:lineRule="atLeast"/>
              <w:ind w:left="23"/>
              <w:jc w:val="both"/>
              <w:rPr>
                <w:rFonts w:ascii="Times New Roman" w:hAnsi="Times New Roman"/>
                <w:sz w:val="28"/>
                <w:szCs w:val="24"/>
              </w:rPr>
            </w:pPr>
            <w:r>
              <w:rPr>
                <w:rFonts w:ascii="Times New Roman" w:hAnsi="Times New Roman"/>
                <w:sz w:val="28"/>
                <w:szCs w:val="24"/>
              </w:rPr>
              <w:t xml:space="preserve">Отсутствие  в Перечне товаров, работ, услуг, необходимых для оказания гуманитарной помощи либо ликвидации последствий чрезвычайных </w:t>
            </w:r>
            <w:r>
              <w:rPr>
                <w:rFonts w:ascii="Times New Roman" w:hAnsi="Times New Roman"/>
                <w:sz w:val="28"/>
                <w:szCs w:val="24"/>
              </w:rPr>
              <w:lastRenderedPageBreak/>
              <w:t>ситуаций природного или техногенного характера, установленный Правительством Российской Федерации</w:t>
            </w:r>
          </w:p>
        </w:tc>
      </w:tr>
      <w:tr w:rsidR="00B504DE" w:rsidTr="00D93C15">
        <w:tc>
          <w:tcPr>
            <w:tcW w:w="521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lastRenderedPageBreak/>
              <w:t>Продукция включена в «Аукционный перечень»</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Электронный аукцион</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108" w:right="-108"/>
              <w:jc w:val="center"/>
              <w:rPr>
                <w:rFonts w:ascii="Times New Roman" w:hAnsi="Times New Roman"/>
                <w:sz w:val="28"/>
                <w:szCs w:val="24"/>
              </w:rPr>
            </w:pPr>
            <w:r>
              <w:rPr>
                <w:rFonts w:ascii="Times New Roman" w:hAnsi="Times New Roman"/>
                <w:sz w:val="28"/>
                <w:szCs w:val="24"/>
              </w:rPr>
              <w:t>«цена контракта»</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ind w:left="-108" w:right="-108"/>
              <w:contextualSpacing/>
              <w:jc w:val="center"/>
              <w:rPr>
                <w:lang w:eastAsia="en-US"/>
              </w:rPr>
            </w:pPr>
            <w:r>
              <w:t>да</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108" w:right="-108"/>
              <w:rPr>
                <w:rFonts w:ascii="Times New Roman" w:hAnsi="Times New Roman"/>
                <w:b/>
                <w:sz w:val="28"/>
                <w:szCs w:val="24"/>
              </w:rPr>
            </w:pPr>
            <w:r>
              <w:rPr>
                <w:rFonts w:ascii="Times New Roman" w:hAnsi="Times New Roman"/>
                <w:b/>
                <w:sz w:val="28"/>
                <w:szCs w:val="24"/>
              </w:rPr>
              <w:t xml:space="preserve"> -</w:t>
            </w:r>
          </w:p>
        </w:tc>
      </w:tr>
      <w:tr w:rsidR="00B504DE" w:rsidTr="00D93C15">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Запрос котировок</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до 500 000 рублей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ind w:left="-108" w:right="-108"/>
              <w:contextualSpacing/>
              <w:rPr>
                <w:sz w:val="24"/>
                <w:lang w:eastAsia="en-US"/>
              </w:rPr>
            </w:pPr>
            <w:r>
              <w:t>«цена контракта»</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ind w:left="-108" w:right="-108"/>
              <w:contextualSpacing/>
              <w:jc w:val="center"/>
              <w:rPr>
                <w:lang w:eastAsia="en-US"/>
              </w:rPr>
            </w:pPr>
            <w:r>
              <w:t>да</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B504DE">
            <w:pPr>
              <w:pStyle w:val="a8"/>
              <w:numPr>
                <w:ilvl w:val="0"/>
                <w:numId w:val="2"/>
              </w:numPr>
              <w:spacing w:after="0" w:line="20" w:lineRule="atLeast"/>
              <w:ind w:left="-108" w:firstLine="108"/>
              <w:jc w:val="both"/>
              <w:rPr>
                <w:rFonts w:ascii="Times New Roman" w:hAnsi="Times New Roman"/>
                <w:b/>
                <w:sz w:val="28"/>
                <w:szCs w:val="24"/>
              </w:rPr>
            </w:pPr>
            <w:r>
              <w:rPr>
                <w:rFonts w:ascii="Times New Roman" w:hAnsi="Times New Roman"/>
                <w:sz w:val="28"/>
                <w:szCs w:val="24"/>
              </w:rPr>
              <w:t>совокупный годовой объем закупок, производимых заказчиком путем проведения запроса котировок,  не превышает десять процентов размера средств, предусмотренных на осуществление всех закупок заказчика;</w:t>
            </w:r>
          </w:p>
          <w:p w:rsidR="00B504DE" w:rsidRDefault="00B504DE" w:rsidP="00B504DE">
            <w:pPr>
              <w:pStyle w:val="a8"/>
              <w:numPr>
                <w:ilvl w:val="0"/>
                <w:numId w:val="2"/>
              </w:numPr>
              <w:spacing w:after="0" w:line="20" w:lineRule="atLeast"/>
              <w:ind w:left="-108" w:firstLine="108"/>
              <w:jc w:val="both"/>
              <w:rPr>
                <w:rFonts w:ascii="Times New Roman" w:hAnsi="Times New Roman"/>
                <w:b/>
                <w:sz w:val="28"/>
                <w:szCs w:val="24"/>
              </w:rPr>
            </w:pPr>
            <w:r>
              <w:rPr>
                <w:rFonts w:ascii="Times New Roman" w:hAnsi="Times New Roman"/>
                <w:sz w:val="28"/>
                <w:szCs w:val="24"/>
              </w:rPr>
              <w:lastRenderedPageBreak/>
              <w:t xml:space="preserve">  совокупный годовой объем производимых заказчиком закупок путем проведения запроса котировок не превышает сто  миллионов рублей в год;</w:t>
            </w:r>
          </w:p>
          <w:p w:rsidR="00B504DE" w:rsidRDefault="00B504DE" w:rsidP="00B504DE">
            <w:pPr>
              <w:pStyle w:val="a8"/>
              <w:numPr>
                <w:ilvl w:val="0"/>
                <w:numId w:val="2"/>
              </w:numPr>
              <w:spacing w:after="0" w:line="20" w:lineRule="atLeast"/>
              <w:ind w:left="-108" w:firstLine="108"/>
              <w:jc w:val="both"/>
              <w:rPr>
                <w:rFonts w:ascii="Times New Roman" w:hAnsi="Times New Roman"/>
                <w:b/>
                <w:sz w:val="28"/>
                <w:szCs w:val="24"/>
              </w:rPr>
            </w:pPr>
            <w:r>
              <w:rPr>
                <w:rFonts w:ascii="Times New Roman" w:hAnsi="Times New Roman"/>
                <w:sz w:val="28"/>
                <w:szCs w:val="24"/>
              </w:rPr>
              <w:t xml:space="preserve">проведение электронного аукциона нецелесообразно,  в том числе по следующим причинам:  отсутствие возможности получения экономии средств за счет повышения конкуренции посредством </w:t>
            </w:r>
            <w:r>
              <w:rPr>
                <w:rFonts w:ascii="Times New Roman" w:hAnsi="Times New Roman"/>
                <w:sz w:val="28"/>
                <w:szCs w:val="24"/>
              </w:rPr>
              <w:lastRenderedPageBreak/>
              <w:t>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p>
        </w:tc>
      </w:tr>
      <w:tr w:rsidR="00B504DE" w:rsidTr="00D93C15">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Закупка у единственного поставщика (подрядчика, исполнителя)</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до 100 000 рублей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rPr>
                <w:sz w:val="24"/>
                <w:lang w:eastAsia="en-US"/>
              </w:rPr>
            </w:pPr>
            <w:r>
              <w:t>«цена контракта»</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lang w:eastAsia="en-US"/>
              </w:rPr>
            </w:pPr>
            <w:r>
              <w:t>да</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B504DE">
            <w:pPr>
              <w:pStyle w:val="a8"/>
              <w:numPr>
                <w:ilvl w:val="2"/>
                <w:numId w:val="3"/>
              </w:numPr>
              <w:spacing w:after="0" w:line="20" w:lineRule="atLeast"/>
              <w:ind w:left="-1" w:firstLine="143"/>
              <w:jc w:val="both"/>
              <w:rPr>
                <w:rFonts w:ascii="Times New Roman" w:hAnsi="Times New Roman"/>
                <w:sz w:val="28"/>
                <w:szCs w:val="24"/>
              </w:rPr>
            </w:pPr>
            <w:r>
              <w:rPr>
                <w:rFonts w:ascii="Times New Roman" w:hAnsi="Times New Roman"/>
                <w:sz w:val="28"/>
                <w:szCs w:val="24"/>
              </w:rPr>
              <w:t>совокупный годовой объем производимых заказчиком «закупок малого объема» не превышает пять процентов размера средств, предусмотренных на осуществление всех закупок заказчика;</w:t>
            </w:r>
          </w:p>
          <w:p w:rsidR="00B504DE" w:rsidRDefault="00B504DE" w:rsidP="00B504DE">
            <w:pPr>
              <w:pStyle w:val="a8"/>
              <w:numPr>
                <w:ilvl w:val="2"/>
                <w:numId w:val="3"/>
              </w:numPr>
              <w:spacing w:after="0" w:line="20" w:lineRule="atLeast"/>
              <w:ind w:left="-1" w:firstLine="143"/>
              <w:jc w:val="both"/>
              <w:rPr>
                <w:rFonts w:ascii="Times New Roman" w:hAnsi="Times New Roman"/>
                <w:sz w:val="28"/>
                <w:szCs w:val="24"/>
              </w:rPr>
            </w:pPr>
            <w:r>
              <w:rPr>
                <w:rFonts w:ascii="Times New Roman" w:hAnsi="Times New Roman"/>
                <w:sz w:val="28"/>
                <w:szCs w:val="24"/>
              </w:rPr>
              <w:lastRenderedPageBreak/>
              <w:t xml:space="preserve"> совокупный годовой объем производимых заказчиком «закупок малого объема» не превышает пятьдесят миллионов рублей в год;</w:t>
            </w:r>
          </w:p>
          <w:p w:rsidR="00B504DE" w:rsidRDefault="00B504DE" w:rsidP="00B504DE">
            <w:pPr>
              <w:pStyle w:val="a8"/>
              <w:numPr>
                <w:ilvl w:val="2"/>
                <w:numId w:val="3"/>
              </w:numPr>
              <w:spacing w:after="0" w:line="20" w:lineRule="atLeast"/>
              <w:ind w:left="-1" w:firstLine="143"/>
              <w:jc w:val="both"/>
              <w:rPr>
                <w:rFonts w:ascii="Times New Roman" w:hAnsi="Times New Roman"/>
                <w:b/>
                <w:sz w:val="28"/>
                <w:szCs w:val="24"/>
              </w:rPr>
            </w:pPr>
            <w:r>
              <w:rPr>
                <w:rFonts w:ascii="Times New Roman" w:hAnsi="Times New Roman"/>
                <w:sz w:val="28"/>
                <w:szCs w:val="24"/>
              </w:rPr>
              <w:t xml:space="preserve">проведение конкурентных процедур нецелесообразно,  в том числе по следующим причинам:  отсутствие возможности получения экономии средств за счет повышения конкуренции посредством проведения </w:t>
            </w:r>
            <w:r>
              <w:rPr>
                <w:rFonts w:ascii="Times New Roman" w:hAnsi="Times New Roman"/>
                <w:sz w:val="28"/>
                <w:szCs w:val="24"/>
              </w:rPr>
              <w:lastRenderedPageBreak/>
              <w:t>конкурентных закупок, в связи с затратой времени, отсутствие заинтересованности в получении заказа со стороны потенциальных поставщиков (исполнителей, подрядчиков).</w:t>
            </w:r>
          </w:p>
        </w:tc>
      </w:tr>
      <w:tr w:rsidR="00B504DE" w:rsidTr="00D93C15">
        <w:tc>
          <w:tcPr>
            <w:tcW w:w="521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lastRenderedPageBreak/>
              <w:t>Любая</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Электронный аукцион</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«цена контракта»</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lang w:eastAsia="en-US"/>
              </w:rPr>
            </w:pPr>
            <w:r>
              <w:t>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23"/>
              <w:rPr>
                <w:rFonts w:ascii="Times New Roman" w:hAnsi="Times New Roman"/>
                <w:b/>
                <w:sz w:val="28"/>
                <w:szCs w:val="24"/>
              </w:rPr>
            </w:pPr>
            <w:r>
              <w:rPr>
                <w:rFonts w:ascii="Times New Roman" w:hAnsi="Times New Roman"/>
                <w:b/>
                <w:sz w:val="28"/>
                <w:szCs w:val="24"/>
              </w:rPr>
              <w:t>-</w:t>
            </w:r>
          </w:p>
        </w:tc>
      </w:tr>
      <w:tr w:rsidR="00B504DE" w:rsidTr="00D93C15">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Запрос котировок</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до 500 000 рублей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ind w:right="-108"/>
              <w:contextualSpacing/>
              <w:rPr>
                <w:sz w:val="24"/>
                <w:lang w:eastAsia="en-US"/>
              </w:rPr>
            </w:pPr>
            <w:r>
              <w:t>«цена контракта»</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lang w:eastAsia="en-US"/>
              </w:rPr>
            </w:pPr>
            <w:r>
              <w:t>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B504DE">
            <w:pPr>
              <w:pStyle w:val="a8"/>
              <w:numPr>
                <w:ilvl w:val="0"/>
                <w:numId w:val="4"/>
              </w:numPr>
              <w:spacing w:after="0" w:line="20" w:lineRule="atLeast"/>
              <w:ind w:left="0" w:firstLine="0"/>
              <w:rPr>
                <w:rFonts w:ascii="Times New Roman" w:hAnsi="Times New Roman"/>
                <w:b/>
                <w:sz w:val="28"/>
                <w:szCs w:val="24"/>
              </w:rPr>
            </w:pPr>
            <w:r>
              <w:rPr>
                <w:rFonts w:ascii="Times New Roman" w:hAnsi="Times New Roman"/>
                <w:sz w:val="28"/>
                <w:szCs w:val="24"/>
              </w:rPr>
              <w:t xml:space="preserve">совокупный годовой объем закупок, производимых заказчиком путем проведения запроса котировок,  не превышает десять процентов размера средств, </w:t>
            </w:r>
            <w:r>
              <w:rPr>
                <w:rFonts w:ascii="Times New Roman" w:hAnsi="Times New Roman"/>
                <w:sz w:val="28"/>
                <w:szCs w:val="24"/>
              </w:rPr>
              <w:lastRenderedPageBreak/>
              <w:t>предусмотренных на осуществление всех закупок заказчика;</w:t>
            </w:r>
          </w:p>
          <w:p w:rsidR="00B504DE" w:rsidRDefault="00B504DE" w:rsidP="00B504DE">
            <w:pPr>
              <w:pStyle w:val="a8"/>
              <w:numPr>
                <w:ilvl w:val="0"/>
                <w:numId w:val="4"/>
              </w:numPr>
              <w:spacing w:after="0" w:line="20" w:lineRule="atLeast"/>
              <w:ind w:left="0" w:firstLine="0"/>
              <w:rPr>
                <w:rFonts w:ascii="Times New Roman" w:hAnsi="Times New Roman"/>
                <w:b/>
                <w:sz w:val="28"/>
                <w:szCs w:val="24"/>
              </w:rPr>
            </w:pPr>
            <w:r>
              <w:rPr>
                <w:rFonts w:ascii="Times New Roman" w:hAnsi="Times New Roman"/>
                <w:sz w:val="28"/>
                <w:szCs w:val="24"/>
              </w:rPr>
              <w:t xml:space="preserve">  совокупный годовой объем производимых заказчиком закупок путем проведения запроса котировок не превышает сто  миллионов рублей в год;</w:t>
            </w:r>
          </w:p>
          <w:p w:rsidR="00B504DE" w:rsidRDefault="00B504DE" w:rsidP="00B504DE">
            <w:pPr>
              <w:pStyle w:val="a8"/>
              <w:numPr>
                <w:ilvl w:val="0"/>
                <w:numId w:val="4"/>
              </w:numPr>
              <w:spacing w:after="0" w:line="20" w:lineRule="atLeast"/>
              <w:ind w:left="0" w:firstLine="0"/>
              <w:rPr>
                <w:rFonts w:ascii="Times New Roman" w:hAnsi="Times New Roman"/>
                <w:b/>
                <w:sz w:val="28"/>
                <w:szCs w:val="24"/>
              </w:rPr>
            </w:pPr>
            <w:r>
              <w:rPr>
                <w:rFonts w:ascii="Times New Roman" w:hAnsi="Times New Roman"/>
                <w:sz w:val="28"/>
                <w:szCs w:val="24"/>
              </w:rPr>
              <w:t xml:space="preserve">проведение электронного аукциона нецелесообразно,  в том числе по следующим причинам:  отсутствие возможности получения экономии средств за счет </w:t>
            </w:r>
            <w:r>
              <w:rPr>
                <w:rFonts w:ascii="Times New Roman" w:hAnsi="Times New Roman"/>
                <w:sz w:val="28"/>
                <w:szCs w:val="24"/>
              </w:rPr>
              <w:lastRenderedPageBreak/>
              <w:t>повышения конкуренции посредством проведения электронного аукциона, в связи с затратой времени,  отсутствием заинтересованности в получении заказа со стороны потенциальных поставщиков (исполнителей, подрядчиков)</w:t>
            </w:r>
          </w:p>
        </w:tc>
      </w:tr>
      <w:tr w:rsidR="00B504DE" w:rsidTr="00D93C15">
        <w:tc>
          <w:tcPr>
            <w:tcW w:w="5213"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lastRenderedPageBreak/>
              <w:t xml:space="preserve">Любая </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Открытый конкурс</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несколько критериев</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lang w:eastAsia="en-US"/>
              </w:rPr>
            </w:pPr>
            <w:r>
              <w:t>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23"/>
              <w:rPr>
                <w:rFonts w:ascii="Times New Roman" w:hAnsi="Times New Roman"/>
                <w:b/>
                <w:sz w:val="28"/>
                <w:szCs w:val="24"/>
              </w:rPr>
            </w:pPr>
            <w:r>
              <w:rPr>
                <w:rFonts w:ascii="Times New Roman" w:hAnsi="Times New Roman"/>
                <w:b/>
                <w:sz w:val="28"/>
                <w:szCs w:val="24"/>
              </w:rPr>
              <w:t>-</w:t>
            </w:r>
          </w:p>
        </w:tc>
      </w:tr>
      <w:tr w:rsidR="00B504DE" w:rsidTr="00D93C15">
        <w:tc>
          <w:tcPr>
            <w:tcW w:w="5213"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Двухэтапный конкурс</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sz w:val="24"/>
                <w:lang w:eastAsia="en-US"/>
              </w:rPr>
            </w:pPr>
            <w: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несколько критериев</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lang w:eastAsia="en-US"/>
              </w:rPr>
            </w:pPr>
            <w:r>
              <w:t>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widowControl w:val="0"/>
              <w:autoSpaceDE w:val="0"/>
              <w:autoSpaceDN w:val="0"/>
              <w:adjustRightInd w:val="0"/>
              <w:spacing w:after="0" w:line="20" w:lineRule="atLeast"/>
              <w:ind w:left="0"/>
              <w:jc w:val="both"/>
              <w:rPr>
                <w:rFonts w:ascii="Times New Roman" w:hAnsi="Times New Roman"/>
                <w:sz w:val="28"/>
                <w:szCs w:val="24"/>
              </w:rPr>
            </w:pPr>
            <w:r>
              <w:rPr>
                <w:rFonts w:ascii="Times New Roman" w:hAnsi="Times New Roman"/>
                <w:sz w:val="28"/>
                <w:szCs w:val="24"/>
              </w:rPr>
              <w:t xml:space="preserve">1)конкурс проводится для заключения контракта на проведение научных исследований, </w:t>
            </w:r>
            <w:r>
              <w:rPr>
                <w:rFonts w:ascii="Times New Roman" w:hAnsi="Times New Roman"/>
                <w:sz w:val="28"/>
                <w:szCs w:val="24"/>
              </w:rPr>
              <w:lastRenderedPageBreak/>
              <w:t>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энергосервисного контракта, а также в целях создания произведения литературы или искусства, исполнения (как результата интеллектуальной деятельности);</w:t>
            </w:r>
          </w:p>
          <w:p w:rsidR="00B504DE" w:rsidRDefault="00B504DE" w:rsidP="00D93C15">
            <w:pPr>
              <w:pStyle w:val="a8"/>
              <w:spacing w:after="0" w:line="20" w:lineRule="atLeast"/>
              <w:ind w:left="0"/>
              <w:jc w:val="both"/>
              <w:rPr>
                <w:rFonts w:ascii="Times New Roman" w:hAnsi="Times New Roman"/>
                <w:b/>
                <w:sz w:val="28"/>
                <w:szCs w:val="24"/>
              </w:rPr>
            </w:pPr>
            <w:r>
              <w:rPr>
                <w:rFonts w:ascii="Times New Roman" w:hAnsi="Times New Roman"/>
                <w:sz w:val="28"/>
                <w:szCs w:val="24"/>
              </w:rPr>
              <w:t xml:space="preserve">2) для уточнения характеристик </w:t>
            </w:r>
            <w:r>
              <w:rPr>
                <w:rFonts w:ascii="Times New Roman" w:hAnsi="Times New Roman"/>
                <w:sz w:val="28"/>
                <w:szCs w:val="24"/>
              </w:rPr>
              <w:lastRenderedPageBreak/>
              <w:t>объекта закупки необходимо провести его обсуждение с участниками закупки.</w:t>
            </w:r>
          </w:p>
        </w:tc>
      </w:tr>
      <w:tr w:rsidR="00B504DE" w:rsidTr="00D93C15">
        <w:tc>
          <w:tcPr>
            <w:tcW w:w="521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both"/>
              <w:rPr>
                <w:rFonts w:ascii="Times New Roman" w:hAnsi="Times New Roman"/>
                <w:b/>
                <w:sz w:val="28"/>
                <w:szCs w:val="24"/>
              </w:rPr>
            </w:pPr>
            <w:r>
              <w:rPr>
                <w:rFonts w:ascii="Times New Roman" w:hAnsi="Times New Roman"/>
                <w:sz w:val="28"/>
                <w:szCs w:val="24"/>
              </w:rPr>
              <w:lastRenderedPageBreak/>
              <w:t>Закупка в соответствии с  Перечнем случаев и (или) порядком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установленным  Правительством Российской Федерации</w:t>
            </w:r>
          </w:p>
        </w:tc>
        <w:tc>
          <w:tcPr>
            <w:tcW w:w="1983"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r>
              <w:rPr>
                <w:rFonts w:ascii="Times New Roman" w:hAnsi="Times New Roman"/>
                <w:sz w:val="28"/>
                <w:szCs w:val="24"/>
              </w:rPr>
              <w:t>Конкурс с ограниченным участием</w:t>
            </w:r>
          </w:p>
        </w:tc>
        <w:tc>
          <w:tcPr>
            <w:tcW w:w="1984"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sz w:val="24"/>
                <w:lang w:eastAsia="en-US"/>
              </w:rPr>
            </w:pPr>
            <w:r>
              <w:rPr>
                <w:b/>
              </w:rPr>
              <w:t>без ограничений</w:t>
            </w:r>
          </w:p>
        </w:tc>
        <w:tc>
          <w:tcPr>
            <w:tcW w:w="155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несколько критериев</w:t>
            </w:r>
          </w:p>
        </w:tc>
        <w:tc>
          <w:tcPr>
            <w:tcW w:w="1877" w:type="dxa"/>
            <w:tcBorders>
              <w:top w:val="single" w:sz="4" w:space="0" w:color="auto"/>
              <w:left w:val="single" w:sz="4" w:space="0" w:color="auto"/>
              <w:bottom w:val="single" w:sz="4" w:space="0" w:color="auto"/>
              <w:right w:val="single" w:sz="4" w:space="0" w:color="auto"/>
            </w:tcBorders>
          </w:tcPr>
          <w:p w:rsidR="00B504DE" w:rsidRDefault="00B504DE" w:rsidP="00D93C15">
            <w:pPr>
              <w:spacing w:line="20" w:lineRule="atLeast"/>
              <w:contextualSpacing/>
              <w:jc w:val="center"/>
              <w:rPr>
                <w:b/>
                <w:lang w:eastAsia="en-US"/>
              </w:rPr>
            </w:pPr>
            <w:r>
              <w:rPr>
                <w:b/>
              </w:rPr>
              <w:t>нет</w:t>
            </w:r>
          </w:p>
        </w:tc>
        <w:tc>
          <w:tcPr>
            <w:tcW w:w="2801"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23"/>
              <w:rPr>
                <w:rFonts w:ascii="Times New Roman" w:hAnsi="Times New Roman"/>
                <w:b/>
                <w:sz w:val="28"/>
                <w:szCs w:val="24"/>
              </w:rPr>
            </w:pPr>
            <w:r>
              <w:rPr>
                <w:rFonts w:ascii="Times New Roman" w:hAnsi="Times New Roman"/>
                <w:b/>
                <w:sz w:val="28"/>
                <w:szCs w:val="24"/>
              </w:rPr>
              <w:t>-</w:t>
            </w:r>
          </w:p>
        </w:tc>
      </w:tr>
    </w:tbl>
    <w:p w:rsidR="00B504DE" w:rsidRDefault="00B504DE" w:rsidP="00B504DE">
      <w:pPr>
        <w:spacing w:line="20" w:lineRule="atLeast"/>
        <w:contextualSpacing/>
        <w:rPr>
          <w:rFonts w:ascii="Calibri" w:hAnsi="Calibri"/>
          <w:sz w:val="24"/>
          <w:lang w:eastAsia="en-US"/>
        </w:rPr>
      </w:pPr>
    </w:p>
    <w:p w:rsidR="00B504DE" w:rsidRDefault="00B504DE" w:rsidP="00B504DE">
      <w:pPr>
        <w:widowControl w:val="0"/>
        <w:autoSpaceDE w:val="0"/>
        <w:autoSpaceDN w:val="0"/>
        <w:adjustRightInd w:val="0"/>
        <w:spacing w:line="20" w:lineRule="atLeast"/>
        <w:ind w:firstLine="539"/>
        <w:contextualSpacing/>
        <w:jc w:val="right"/>
      </w:pPr>
    </w:p>
    <w:p w:rsidR="00B504DE" w:rsidRDefault="00B504DE" w:rsidP="00B504DE">
      <w:pPr>
        <w:sectPr w:rsidR="00B504DE" w:rsidSect="00B504DE">
          <w:pgSz w:w="16838" w:h="11906" w:orient="landscape"/>
          <w:pgMar w:top="2127" w:right="678" w:bottom="850" w:left="1134" w:header="1701" w:footer="242" w:gutter="0"/>
          <w:cols w:space="720"/>
        </w:sectPr>
      </w:pPr>
    </w:p>
    <w:p w:rsidR="00B504DE" w:rsidRPr="009C55F4" w:rsidRDefault="00B504DE" w:rsidP="00B504DE">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lastRenderedPageBreak/>
        <w:t>Приложение №2</w:t>
      </w:r>
    </w:p>
    <w:p w:rsidR="00B504DE" w:rsidRPr="009C55F4" w:rsidRDefault="00B504DE" w:rsidP="00B504DE">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к Порядку обоснования способа </w:t>
      </w:r>
    </w:p>
    <w:p w:rsidR="00B504DE" w:rsidRPr="009C55F4" w:rsidRDefault="00B504DE" w:rsidP="00B504DE">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определения поставщика (подрядчика, исполнителя) </w:t>
      </w:r>
    </w:p>
    <w:p w:rsidR="00B504DE" w:rsidRDefault="00B504DE" w:rsidP="009C55F4">
      <w:pPr>
        <w:widowControl w:val="0"/>
        <w:autoSpaceDE w:val="0"/>
        <w:autoSpaceDN w:val="0"/>
        <w:adjustRightInd w:val="0"/>
        <w:spacing w:line="20" w:lineRule="atLeast"/>
        <w:ind w:firstLine="539"/>
        <w:contextualSpacing/>
        <w:jc w:val="right"/>
        <w:rPr>
          <w:rFonts w:ascii="Times New Roman" w:hAnsi="Times New Roman" w:cs="Times New Roman"/>
        </w:rPr>
      </w:pPr>
      <w:r w:rsidRPr="009C55F4">
        <w:rPr>
          <w:rFonts w:ascii="Times New Roman" w:hAnsi="Times New Roman" w:cs="Times New Roman"/>
        </w:rPr>
        <w:t xml:space="preserve">для обеспечения муниципальных нужд  </w:t>
      </w:r>
      <w:r w:rsidR="009C55F4" w:rsidRPr="009C55F4">
        <w:rPr>
          <w:rFonts w:ascii="Times New Roman" w:hAnsi="Times New Roman" w:cs="Times New Roman"/>
          <w:sz w:val="24"/>
          <w:szCs w:val="24"/>
        </w:rPr>
        <w:t>Администрации</w:t>
      </w:r>
      <w:r w:rsidR="009C55F4" w:rsidRPr="009C55F4">
        <w:rPr>
          <w:rFonts w:ascii="Times New Roman" w:hAnsi="Times New Roman" w:cs="Times New Roman"/>
          <w:sz w:val="24"/>
          <w:szCs w:val="24"/>
        </w:rPr>
        <w:br/>
      </w:r>
      <w:r w:rsidR="009C55F4" w:rsidRPr="009C55F4">
        <w:rPr>
          <w:rFonts w:ascii="Times New Roman" w:hAnsi="Times New Roman" w:cs="Times New Roman"/>
        </w:rPr>
        <w:t>Мартыновского  сельсовета Суджанского района</w:t>
      </w:r>
    </w:p>
    <w:p w:rsidR="009C55F4" w:rsidRPr="009C55F4" w:rsidRDefault="009C55F4" w:rsidP="009C55F4">
      <w:pPr>
        <w:widowControl w:val="0"/>
        <w:autoSpaceDE w:val="0"/>
        <w:autoSpaceDN w:val="0"/>
        <w:adjustRightInd w:val="0"/>
        <w:spacing w:line="20" w:lineRule="atLeast"/>
        <w:ind w:firstLine="539"/>
        <w:contextualSpacing/>
        <w:jc w:val="right"/>
        <w:rPr>
          <w:rFonts w:ascii="Times New Roman" w:hAnsi="Times New Roman" w:cs="Times New Roman"/>
          <w:b/>
        </w:rPr>
      </w:pPr>
    </w:p>
    <w:p w:rsidR="00B504DE" w:rsidRPr="009C55F4" w:rsidRDefault="00B504DE" w:rsidP="009C55F4">
      <w:pPr>
        <w:widowControl w:val="0"/>
        <w:autoSpaceDE w:val="0"/>
        <w:autoSpaceDN w:val="0"/>
        <w:adjustRightInd w:val="0"/>
        <w:spacing w:line="20" w:lineRule="atLeast"/>
        <w:ind w:firstLine="539"/>
        <w:contextualSpacing/>
        <w:jc w:val="center"/>
        <w:rPr>
          <w:rFonts w:ascii="Times New Roman" w:hAnsi="Times New Roman" w:cs="Times New Roman"/>
          <w:b/>
          <w:sz w:val="28"/>
          <w:szCs w:val="24"/>
        </w:rPr>
      </w:pPr>
      <w:r w:rsidRPr="009C55F4">
        <w:rPr>
          <w:rFonts w:ascii="Times New Roman" w:hAnsi="Times New Roman" w:cs="Times New Roman"/>
          <w:b/>
        </w:rPr>
        <w:t xml:space="preserve">Обоснование способа определения поставщика (подрядчика, исполнителя) для обеспечения муниципальных нужд  </w:t>
      </w:r>
      <w:r w:rsidR="009C55F4" w:rsidRPr="009C55F4">
        <w:rPr>
          <w:rFonts w:ascii="Times New Roman" w:hAnsi="Times New Roman" w:cs="Times New Roman"/>
          <w:b/>
          <w:sz w:val="24"/>
          <w:szCs w:val="24"/>
        </w:rPr>
        <w:t>Администрации</w:t>
      </w:r>
      <w:r w:rsidR="009C55F4" w:rsidRPr="009C55F4">
        <w:rPr>
          <w:rFonts w:ascii="Times New Roman" w:hAnsi="Times New Roman" w:cs="Times New Roman"/>
          <w:b/>
          <w:sz w:val="24"/>
          <w:szCs w:val="24"/>
        </w:rPr>
        <w:br/>
      </w:r>
      <w:r w:rsidR="009C55F4" w:rsidRPr="009C55F4">
        <w:rPr>
          <w:rFonts w:ascii="Times New Roman" w:hAnsi="Times New Roman" w:cs="Times New Roman"/>
          <w:b/>
        </w:rPr>
        <w:t>Мартыновского  сельсовета Суджанского района</w:t>
      </w: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85"/>
        <w:gridCol w:w="2269"/>
        <w:gridCol w:w="1672"/>
        <w:gridCol w:w="1417"/>
        <w:gridCol w:w="1876"/>
        <w:gridCol w:w="3312"/>
      </w:tblGrid>
      <w:tr w:rsidR="00B504DE" w:rsidTr="00D93C15">
        <w:trPr>
          <w:tblHeader/>
        </w:trPr>
        <w:tc>
          <w:tcPr>
            <w:tcW w:w="4785"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Предмет контракта</w:t>
            </w:r>
          </w:p>
        </w:tc>
        <w:tc>
          <w:tcPr>
            <w:tcW w:w="2269" w:type="dxa"/>
            <w:vMerge w:val="restart"/>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Способ определения поставщика (подрядчика, исполнителя)</w:t>
            </w:r>
          </w:p>
        </w:tc>
        <w:tc>
          <w:tcPr>
            <w:tcW w:w="8277" w:type="dxa"/>
            <w:gridSpan w:val="4"/>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Условия применения</w:t>
            </w:r>
          </w:p>
        </w:tc>
      </w:tr>
      <w:tr w:rsidR="00B504DE" w:rsidTr="00D93C15">
        <w:trPr>
          <w:tblHeader/>
        </w:trPr>
        <w:tc>
          <w:tcPr>
            <w:tcW w:w="4785"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2269" w:type="dxa"/>
            <w:vMerge/>
            <w:tcBorders>
              <w:top w:val="single" w:sz="4" w:space="0" w:color="auto"/>
              <w:left w:val="single" w:sz="4" w:space="0" w:color="auto"/>
              <w:bottom w:val="single" w:sz="4" w:space="0" w:color="auto"/>
              <w:right w:val="single" w:sz="4" w:space="0" w:color="auto"/>
            </w:tcBorders>
            <w:vAlign w:val="center"/>
          </w:tcPr>
          <w:p w:rsidR="00B504DE" w:rsidRDefault="00B504DE" w:rsidP="00D93C15">
            <w:pPr>
              <w:rPr>
                <w:b/>
                <w:lang w:eastAsia="en-US"/>
              </w:rPr>
            </w:pPr>
          </w:p>
        </w:tc>
        <w:tc>
          <w:tcPr>
            <w:tcW w:w="1672"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Цена контракта</w:t>
            </w:r>
          </w:p>
        </w:tc>
        <w:tc>
          <w:tcPr>
            <w:tcW w:w="141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Критерии оценки</w:t>
            </w:r>
          </w:p>
        </w:tc>
        <w:tc>
          <w:tcPr>
            <w:tcW w:w="1876"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Наличие в «Аукционном перечне»</w:t>
            </w:r>
            <w:r>
              <w:rPr>
                <w:rStyle w:val="a9"/>
                <w:rFonts w:ascii="Times New Roman" w:hAnsi="Times New Roman"/>
                <w:b/>
                <w:sz w:val="28"/>
                <w:szCs w:val="24"/>
              </w:rPr>
              <w:footnoteReference w:id="3"/>
            </w:r>
          </w:p>
        </w:tc>
        <w:tc>
          <w:tcPr>
            <w:tcW w:w="3312"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Специальные</w:t>
            </w:r>
          </w:p>
          <w:p w:rsidR="00B504DE" w:rsidRDefault="00B504DE" w:rsidP="00D93C15">
            <w:pPr>
              <w:pStyle w:val="a8"/>
              <w:spacing w:after="0" w:line="20" w:lineRule="atLeast"/>
              <w:ind w:left="0"/>
              <w:jc w:val="center"/>
              <w:rPr>
                <w:rFonts w:ascii="Times New Roman" w:hAnsi="Times New Roman"/>
                <w:b/>
                <w:sz w:val="28"/>
                <w:szCs w:val="24"/>
              </w:rPr>
            </w:pPr>
            <w:r>
              <w:rPr>
                <w:rFonts w:ascii="Times New Roman" w:hAnsi="Times New Roman"/>
                <w:b/>
                <w:sz w:val="28"/>
                <w:szCs w:val="24"/>
              </w:rPr>
              <w:t>Условия</w:t>
            </w:r>
          </w:p>
        </w:tc>
      </w:tr>
      <w:tr w:rsidR="00B504DE" w:rsidTr="00D93C15">
        <w:tc>
          <w:tcPr>
            <w:tcW w:w="4785"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both"/>
              <w:rPr>
                <w:rFonts w:ascii="Times New Roman" w:hAnsi="Times New Roman"/>
                <w:sz w:val="28"/>
                <w:szCs w:val="24"/>
              </w:rPr>
            </w:pPr>
            <w:r>
              <w:rPr>
                <w:rFonts w:ascii="Times New Roman" w:hAnsi="Times New Roman"/>
                <w:sz w:val="28"/>
                <w:szCs w:val="24"/>
              </w:rPr>
              <w:t>Наименование предмета закупки:</w:t>
            </w:r>
          </w:p>
          <w:p w:rsidR="00B504DE" w:rsidRDefault="00B504DE" w:rsidP="00D93C15">
            <w:pPr>
              <w:pStyle w:val="a8"/>
              <w:spacing w:after="0" w:line="20" w:lineRule="atLeast"/>
              <w:ind w:left="0"/>
              <w:jc w:val="both"/>
              <w:rPr>
                <w:rFonts w:ascii="Times New Roman" w:hAnsi="Times New Roman"/>
                <w:sz w:val="28"/>
                <w:szCs w:val="24"/>
              </w:rPr>
            </w:pPr>
          </w:p>
          <w:p w:rsidR="00B504DE" w:rsidRDefault="00B504DE" w:rsidP="00D93C15">
            <w:pPr>
              <w:pStyle w:val="a8"/>
              <w:spacing w:after="0" w:line="20" w:lineRule="atLeast"/>
              <w:ind w:left="0"/>
              <w:jc w:val="both"/>
              <w:rPr>
                <w:rFonts w:ascii="Times New Roman" w:hAnsi="Times New Roman"/>
                <w:sz w:val="28"/>
                <w:szCs w:val="24"/>
              </w:rPr>
            </w:pPr>
            <w:r>
              <w:rPr>
                <w:rFonts w:ascii="Times New Roman" w:hAnsi="Times New Roman"/>
                <w:sz w:val="28"/>
                <w:szCs w:val="24"/>
              </w:rPr>
              <w:t xml:space="preserve">Код ОКДП </w:t>
            </w:r>
          </w:p>
        </w:tc>
        <w:tc>
          <w:tcPr>
            <w:tcW w:w="2269"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p>
        </w:tc>
        <w:tc>
          <w:tcPr>
            <w:tcW w:w="1672"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p>
        </w:tc>
        <w:tc>
          <w:tcPr>
            <w:tcW w:w="1417"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p>
        </w:tc>
        <w:tc>
          <w:tcPr>
            <w:tcW w:w="1876"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sz w:val="28"/>
                <w:szCs w:val="24"/>
              </w:rPr>
            </w:pPr>
          </w:p>
        </w:tc>
        <w:tc>
          <w:tcPr>
            <w:tcW w:w="3312" w:type="dxa"/>
            <w:tcBorders>
              <w:top w:val="single" w:sz="4" w:space="0" w:color="auto"/>
              <w:left w:val="single" w:sz="4" w:space="0" w:color="auto"/>
              <w:bottom w:val="single" w:sz="4" w:space="0" w:color="auto"/>
              <w:right w:val="single" w:sz="4" w:space="0" w:color="auto"/>
            </w:tcBorders>
          </w:tcPr>
          <w:p w:rsidR="00B504DE" w:rsidRDefault="00B504DE" w:rsidP="00D93C15">
            <w:pPr>
              <w:pStyle w:val="a8"/>
              <w:spacing w:after="0" w:line="20" w:lineRule="atLeast"/>
              <w:ind w:left="0"/>
              <w:jc w:val="center"/>
              <w:rPr>
                <w:rFonts w:ascii="Times New Roman" w:hAnsi="Times New Roman"/>
                <w:b/>
                <w:sz w:val="28"/>
                <w:szCs w:val="24"/>
              </w:rPr>
            </w:pPr>
          </w:p>
        </w:tc>
      </w:tr>
    </w:tbl>
    <w:p w:rsidR="00B504DE" w:rsidRDefault="00B504DE" w:rsidP="00B504DE">
      <w:pPr>
        <w:pStyle w:val="a8"/>
        <w:spacing w:after="0" w:line="20" w:lineRule="atLeast"/>
        <w:ind w:left="0"/>
        <w:jc w:val="center"/>
        <w:rPr>
          <w:rFonts w:ascii="Times New Roman" w:hAnsi="Times New Roman"/>
          <w:b/>
          <w:sz w:val="28"/>
          <w:szCs w:val="24"/>
        </w:rPr>
      </w:pPr>
    </w:p>
    <w:p w:rsidR="00B504DE" w:rsidRDefault="00B504DE" w:rsidP="00B504DE">
      <w:pPr>
        <w:pStyle w:val="a8"/>
        <w:spacing w:after="0" w:line="20" w:lineRule="atLeast"/>
        <w:ind w:left="0"/>
        <w:rPr>
          <w:rFonts w:ascii="Times New Roman" w:hAnsi="Times New Roman"/>
          <w:b/>
          <w:sz w:val="28"/>
          <w:szCs w:val="24"/>
        </w:rPr>
      </w:pPr>
      <w:r>
        <w:rPr>
          <w:rFonts w:ascii="Times New Roman" w:hAnsi="Times New Roman"/>
          <w:b/>
          <w:sz w:val="28"/>
          <w:szCs w:val="24"/>
        </w:rPr>
        <w:t>Обоснование дополнительных требований к участникам закупки</w:t>
      </w:r>
      <w:r>
        <w:rPr>
          <w:rStyle w:val="a9"/>
          <w:rFonts w:ascii="Times New Roman" w:hAnsi="Times New Roman"/>
          <w:b/>
          <w:sz w:val="28"/>
          <w:szCs w:val="24"/>
        </w:rPr>
        <w:footnoteReference w:id="4"/>
      </w:r>
      <w:r>
        <w:rPr>
          <w:rFonts w:ascii="Times New Roman" w:hAnsi="Times New Roman"/>
          <w:b/>
          <w:sz w:val="28"/>
          <w:szCs w:val="24"/>
        </w:rPr>
        <w:t>:</w:t>
      </w:r>
    </w:p>
    <w:p w:rsidR="00B504DE" w:rsidRDefault="00B504DE" w:rsidP="00B504DE">
      <w:pPr>
        <w:pStyle w:val="a8"/>
        <w:spacing w:after="0" w:line="20" w:lineRule="atLeast"/>
        <w:ind w:left="0"/>
        <w:rPr>
          <w:szCs w:val="28"/>
        </w:rPr>
      </w:pPr>
      <w:r>
        <w:rPr>
          <w:rFonts w:ascii="Times New Roman" w:hAnsi="Times New Roman"/>
          <w:b/>
          <w:sz w:val="28"/>
          <w:szCs w:val="24"/>
        </w:rPr>
        <w:t>__________________________________________________________________________________________________________________________________________________________________________________________________________________________</w:t>
      </w:r>
    </w:p>
    <w:p w:rsidR="00B504DE" w:rsidRDefault="00B504DE" w:rsidP="00B504DE">
      <w:pPr>
        <w:jc w:val="both"/>
        <w:rPr>
          <w:szCs w:val="28"/>
        </w:rPr>
      </w:pPr>
    </w:p>
    <w:p w:rsidR="000C06B4" w:rsidRDefault="000C06B4"/>
    <w:sectPr w:rsidR="000C06B4" w:rsidSect="00B504DE">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6B4" w:rsidRDefault="000C06B4" w:rsidP="00B504DE">
      <w:pPr>
        <w:spacing w:after="0" w:line="240" w:lineRule="auto"/>
      </w:pPr>
      <w:r>
        <w:separator/>
      </w:r>
    </w:p>
  </w:endnote>
  <w:endnote w:type="continuationSeparator" w:id="1">
    <w:p w:rsidR="000C06B4" w:rsidRDefault="000C06B4" w:rsidP="00B504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6B4" w:rsidRDefault="000C06B4" w:rsidP="00B504DE">
      <w:pPr>
        <w:spacing w:after="0" w:line="240" w:lineRule="auto"/>
      </w:pPr>
      <w:r>
        <w:separator/>
      </w:r>
    </w:p>
  </w:footnote>
  <w:footnote w:type="continuationSeparator" w:id="1">
    <w:p w:rsidR="000C06B4" w:rsidRDefault="000C06B4" w:rsidP="00B504DE">
      <w:pPr>
        <w:spacing w:after="0" w:line="240" w:lineRule="auto"/>
      </w:pPr>
      <w:r>
        <w:continuationSeparator/>
      </w:r>
    </w:p>
  </w:footnote>
  <w:footnote w:id="2">
    <w:p w:rsidR="00B504DE" w:rsidRDefault="00B504DE" w:rsidP="00B504DE">
      <w:pPr>
        <w:pStyle w:val="a6"/>
      </w:pPr>
      <w:r>
        <w:rPr>
          <w:rStyle w:val="a9"/>
        </w:rPr>
        <w:footnoteRef/>
      </w:r>
      <w:r>
        <w:rPr>
          <w:rFonts w:ascii="Times New Roman" w:hAnsi="Times New Roman"/>
        </w:rPr>
        <w:t>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w:t>
      </w:r>
    </w:p>
  </w:footnote>
  <w:footnote w:id="3">
    <w:p w:rsidR="00B504DE" w:rsidRDefault="00B504DE" w:rsidP="00B504DE">
      <w:pPr>
        <w:pStyle w:val="a6"/>
      </w:pPr>
      <w:r>
        <w:rPr>
          <w:rStyle w:val="a9"/>
        </w:rPr>
        <w:footnoteRef/>
      </w:r>
      <w:r>
        <w:rPr>
          <w:rFonts w:ascii="Times New Roman" w:hAnsi="Times New Roman"/>
        </w:rPr>
        <w:t>Перечень продукции, закупки которой осуществляются путем проведения электронного аукциона, установленный Правительством Российской Федерации, либо в дополнительный перечень, установленный  высшим исполнительным органом государственной власти субъекта Российской Федерации</w:t>
      </w:r>
    </w:p>
  </w:footnote>
  <w:footnote w:id="4">
    <w:p w:rsidR="00B504DE" w:rsidRDefault="00B504DE" w:rsidP="00B504DE">
      <w:pPr>
        <w:pStyle w:val="a6"/>
      </w:pPr>
      <w:r>
        <w:rPr>
          <w:rStyle w:val="a9"/>
        </w:rPr>
        <w:footnoteRef/>
      </w:r>
      <w:r>
        <w:rPr>
          <w:rFonts w:ascii="Times New Roman" w:hAnsi="Times New Roman"/>
        </w:rPr>
        <w:t>В случае обоснования применения  конкурса с ограниченным участием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4DE" w:rsidRPr="00B504DE" w:rsidRDefault="00B504DE" w:rsidP="00B504DE">
    <w:pPr>
      <w:pStyle w:val="a4"/>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45C56"/>
    <w:multiLevelType w:val="hybridMultilevel"/>
    <w:tmpl w:val="4440C486"/>
    <w:lvl w:ilvl="0" w:tplc="C24C698A">
      <w:start w:val="1"/>
      <w:numFmt w:val="decimal"/>
      <w:lvlText w:val="%1."/>
      <w:lvlJc w:val="left"/>
      <w:pPr>
        <w:ind w:left="383" w:hanging="360"/>
      </w:pPr>
      <w:rPr>
        <w:b w:val="0"/>
      </w:rPr>
    </w:lvl>
    <w:lvl w:ilvl="1" w:tplc="04190019">
      <w:start w:val="1"/>
      <w:numFmt w:val="lowerLetter"/>
      <w:lvlText w:val="%2."/>
      <w:lvlJc w:val="left"/>
      <w:pPr>
        <w:ind w:left="1103" w:hanging="360"/>
      </w:pPr>
    </w:lvl>
    <w:lvl w:ilvl="2" w:tplc="0419001B">
      <w:start w:val="1"/>
      <w:numFmt w:val="lowerRoman"/>
      <w:lvlText w:val="%3."/>
      <w:lvlJc w:val="right"/>
      <w:pPr>
        <w:ind w:left="1823" w:hanging="180"/>
      </w:pPr>
    </w:lvl>
    <w:lvl w:ilvl="3" w:tplc="0419000F">
      <w:start w:val="1"/>
      <w:numFmt w:val="decimal"/>
      <w:lvlText w:val="%4."/>
      <w:lvlJc w:val="left"/>
      <w:pPr>
        <w:ind w:left="2543" w:hanging="360"/>
      </w:pPr>
    </w:lvl>
    <w:lvl w:ilvl="4" w:tplc="04190019">
      <w:start w:val="1"/>
      <w:numFmt w:val="lowerLetter"/>
      <w:lvlText w:val="%5."/>
      <w:lvlJc w:val="left"/>
      <w:pPr>
        <w:ind w:left="3263" w:hanging="360"/>
      </w:pPr>
    </w:lvl>
    <w:lvl w:ilvl="5" w:tplc="0419001B">
      <w:start w:val="1"/>
      <w:numFmt w:val="lowerRoman"/>
      <w:lvlText w:val="%6."/>
      <w:lvlJc w:val="right"/>
      <w:pPr>
        <w:ind w:left="3983" w:hanging="180"/>
      </w:pPr>
    </w:lvl>
    <w:lvl w:ilvl="6" w:tplc="0419000F">
      <w:start w:val="1"/>
      <w:numFmt w:val="decimal"/>
      <w:lvlText w:val="%7."/>
      <w:lvlJc w:val="left"/>
      <w:pPr>
        <w:ind w:left="4703" w:hanging="360"/>
      </w:pPr>
    </w:lvl>
    <w:lvl w:ilvl="7" w:tplc="04190019">
      <w:start w:val="1"/>
      <w:numFmt w:val="lowerLetter"/>
      <w:lvlText w:val="%8."/>
      <w:lvlJc w:val="left"/>
      <w:pPr>
        <w:ind w:left="5423" w:hanging="360"/>
      </w:pPr>
    </w:lvl>
    <w:lvl w:ilvl="8" w:tplc="0419001B">
      <w:start w:val="1"/>
      <w:numFmt w:val="lowerRoman"/>
      <w:lvlText w:val="%9."/>
      <w:lvlJc w:val="right"/>
      <w:pPr>
        <w:ind w:left="6143" w:hanging="180"/>
      </w:pPr>
    </w:lvl>
  </w:abstractNum>
  <w:abstractNum w:abstractNumId="1">
    <w:nsid w:val="221F2B96"/>
    <w:multiLevelType w:val="multilevel"/>
    <w:tmpl w:val="792C1300"/>
    <w:lvl w:ilvl="0">
      <w:start w:val="1"/>
      <w:numFmt w:val="decimal"/>
      <w:lvlText w:val="%1."/>
      <w:lvlJc w:val="left"/>
      <w:pPr>
        <w:ind w:left="927" w:hanging="360"/>
      </w:pPr>
      <w:rPr>
        <w:rFonts w:cs="Times New Roman"/>
      </w:rPr>
    </w:lvl>
    <w:lvl w:ilvl="1">
      <w:start w:val="1"/>
      <w:numFmt w:val="decimal"/>
      <w:isLgl/>
      <w:lvlText w:val="%1.%2."/>
      <w:lvlJc w:val="left"/>
      <w:pPr>
        <w:ind w:left="1017" w:hanging="450"/>
      </w:pPr>
      <w:rPr>
        <w:sz w:val="24"/>
        <w:szCs w:val="24"/>
      </w:rPr>
    </w:lvl>
    <w:lvl w:ilvl="2">
      <w:start w:val="1"/>
      <w:numFmt w:val="decimal"/>
      <w:isLgl/>
      <w:lvlText w:val="%3."/>
      <w:lvlJc w:val="left"/>
      <w:pPr>
        <w:ind w:left="1287" w:hanging="720"/>
      </w:pPr>
      <w:rPr>
        <w:rFonts w:ascii="Times New Roman" w:eastAsia="Calibri" w:hAnsi="Times New Roman" w:cs="Times New Roman"/>
        <w:b w:val="0"/>
        <w:sz w:val="24"/>
        <w:szCs w:val="24"/>
      </w:rPr>
    </w:lvl>
    <w:lvl w:ilvl="3">
      <w:start w:val="1"/>
      <w:numFmt w:val="decimal"/>
      <w:isLgl/>
      <w:lvlText w:val="%1.%2.%3.%4."/>
      <w:lvlJc w:val="left"/>
      <w:pPr>
        <w:ind w:left="1287" w:hanging="720"/>
      </w:pPr>
      <w:rPr>
        <w:sz w:val="28"/>
      </w:rPr>
    </w:lvl>
    <w:lvl w:ilvl="4">
      <w:start w:val="1"/>
      <w:numFmt w:val="decimal"/>
      <w:isLgl/>
      <w:lvlText w:val="%1.%2.%3.%4.%5."/>
      <w:lvlJc w:val="left"/>
      <w:pPr>
        <w:ind w:left="1647" w:hanging="1080"/>
      </w:pPr>
      <w:rPr>
        <w:sz w:val="28"/>
      </w:rPr>
    </w:lvl>
    <w:lvl w:ilvl="5">
      <w:start w:val="1"/>
      <w:numFmt w:val="decimal"/>
      <w:isLgl/>
      <w:lvlText w:val="%1.%2.%3.%4.%5.%6."/>
      <w:lvlJc w:val="left"/>
      <w:pPr>
        <w:ind w:left="1647" w:hanging="1080"/>
      </w:pPr>
      <w:rPr>
        <w:sz w:val="28"/>
      </w:rPr>
    </w:lvl>
    <w:lvl w:ilvl="6">
      <w:start w:val="1"/>
      <w:numFmt w:val="decimal"/>
      <w:isLgl/>
      <w:lvlText w:val="%1.%2.%3.%4.%5.%6.%7."/>
      <w:lvlJc w:val="left"/>
      <w:pPr>
        <w:ind w:left="2007" w:hanging="1440"/>
      </w:pPr>
      <w:rPr>
        <w:sz w:val="28"/>
      </w:rPr>
    </w:lvl>
    <w:lvl w:ilvl="7">
      <w:start w:val="1"/>
      <w:numFmt w:val="decimal"/>
      <w:isLgl/>
      <w:lvlText w:val="%1.%2.%3.%4.%5.%6.%7.%8."/>
      <w:lvlJc w:val="left"/>
      <w:pPr>
        <w:ind w:left="2007" w:hanging="1440"/>
      </w:pPr>
      <w:rPr>
        <w:sz w:val="28"/>
      </w:rPr>
    </w:lvl>
    <w:lvl w:ilvl="8">
      <w:start w:val="1"/>
      <w:numFmt w:val="decimal"/>
      <w:isLgl/>
      <w:lvlText w:val="%1.%2.%3.%4.%5.%6.%7.%8.%9."/>
      <w:lvlJc w:val="left"/>
      <w:pPr>
        <w:ind w:left="2367" w:hanging="1800"/>
      </w:pPr>
      <w:rPr>
        <w:sz w:val="28"/>
      </w:rPr>
    </w:lvl>
  </w:abstractNum>
  <w:abstractNum w:abstractNumId="2">
    <w:nsid w:val="3BBC51BB"/>
    <w:multiLevelType w:val="hybridMultilevel"/>
    <w:tmpl w:val="4440C486"/>
    <w:lvl w:ilvl="0" w:tplc="C24C698A">
      <w:start w:val="1"/>
      <w:numFmt w:val="decimal"/>
      <w:lvlText w:val="%1."/>
      <w:lvlJc w:val="left"/>
      <w:pPr>
        <w:ind w:left="383" w:hanging="360"/>
      </w:pPr>
      <w:rPr>
        <w:b w:val="0"/>
      </w:rPr>
    </w:lvl>
    <w:lvl w:ilvl="1" w:tplc="04190019">
      <w:start w:val="1"/>
      <w:numFmt w:val="lowerLetter"/>
      <w:lvlText w:val="%2."/>
      <w:lvlJc w:val="left"/>
      <w:pPr>
        <w:ind w:left="1103" w:hanging="360"/>
      </w:pPr>
    </w:lvl>
    <w:lvl w:ilvl="2" w:tplc="0419001B">
      <w:start w:val="1"/>
      <w:numFmt w:val="lowerRoman"/>
      <w:lvlText w:val="%3."/>
      <w:lvlJc w:val="right"/>
      <w:pPr>
        <w:ind w:left="1823" w:hanging="180"/>
      </w:pPr>
    </w:lvl>
    <w:lvl w:ilvl="3" w:tplc="0419000F">
      <w:start w:val="1"/>
      <w:numFmt w:val="decimal"/>
      <w:lvlText w:val="%4."/>
      <w:lvlJc w:val="left"/>
      <w:pPr>
        <w:ind w:left="2543" w:hanging="360"/>
      </w:pPr>
    </w:lvl>
    <w:lvl w:ilvl="4" w:tplc="04190019">
      <w:start w:val="1"/>
      <w:numFmt w:val="lowerLetter"/>
      <w:lvlText w:val="%5."/>
      <w:lvlJc w:val="left"/>
      <w:pPr>
        <w:ind w:left="3263" w:hanging="360"/>
      </w:pPr>
    </w:lvl>
    <w:lvl w:ilvl="5" w:tplc="0419001B">
      <w:start w:val="1"/>
      <w:numFmt w:val="lowerRoman"/>
      <w:lvlText w:val="%6."/>
      <w:lvlJc w:val="right"/>
      <w:pPr>
        <w:ind w:left="3983" w:hanging="180"/>
      </w:pPr>
    </w:lvl>
    <w:lvl w:ilvl="6" w:tplc="0419000F">
      <w:start w:val="1"/>
      <w:numFmt w:val="decimal"/>
      <w:lvlText w:val="%7."/>
      <w:lvlJc w:val="left"/>
      <w:pPr>
        <w:ind w:left="4703" w:hanging="360"/>
      </w:pPr>
    </w:lvl>
    <w:lvl w:ilvl="7" w:tplc="04190019">
      <w:start w:val="1"/>
      <w:numFmt w:val="lowerLetter"/>
      <w:lvlText w:val="%8."/>
      <w:lvlJc w:val="left"/>
      <w:pPr>
        <w:ind w:left="5423" w:hanging="360"/>
      </w:pPr>
    </w:lvl>
    <w:lvl w:ilvl="8" w:tplc="0419001B">
      <w:start w:val="1"/>
      <w:numFmt w:val="lowerRoman"/>
      <w:lvlText w:val="%9."/>
      <w:lvlJc w:val="right"/>
      <w:pPr>
        <w:ind w:left="6143" w:hanging="180"/>
      </w:pPr>
    </w:lvl>
  </w:abstractNum>
  <w:abstractNum w:abstractNumId="3">
    <w:nsid w:val="42503616"/>
    <w:multiLevelType w:val="hybridMultilevel"/>
    <w:tmpl w:val="05C018FA"/>
    <w:lvl w:ilvl="0" w:tplc="B792112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B504DE"/>
    <w:rsid w:val="000C06B4"/>
    <w:rsid w:val="009C55F4"/>
    <w:rsid w:val="00B504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504DE"/>
    <w:pPr>
      <w:keepNext/>
      <w:widowControl w:val="0"/>
      <w:spacing w:after="0" w:line="240" w:lineRule="auto"/>
      <w:ind w:right="1701"/>
      <w:jc w:val="center"/>
      <w:outlineLvl w:val="0"/>
    </w:pPr>
    <w:rPr>
      <w:rFonts w:ascii="Times New Roman" w:eastAsia="Times New Roman" w:hAnsi="Times New Roman" w:cs="Times New Roman"/>
      <w:b/>
      <w:caps/>
      <w:snapToGrid w:val="0"/>
      <w:sz w:val="28"/>
      <w:szCs w:val="20"/>
    </w:rPr>
  </w:style>
  <w:style w:type="paragraph" w:styleId="5">
    <w:name w:val="heading 5"/>
    <w:basedOn w:val="a"/>
    <w:next w:val="a"/>
    <w:link w:val="50"/>
    <w:qFormat/>
    <w:rsid w:val="00B504DE"/>
    <w:pPr>
      <w:keepNext/>
      <w:spacing w:after="0" w:line="240" w:lineRule="auto"/>
      <w:ind w:right="1701"/>
      <w:jc w:val="center"/>
      <w:outlineLvl w:val="4"/>
    </w:pPr>
    <w:rPr>
      <w:rFonts w:ascii="Times New Roman" w:eastAsia="Times New Roman" w:hAnsi="Times New Roman" w:cs="Times New Roman"/>
      <w:b/>
      <w:snapToGrid w:val="0"/>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04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504DE"/>
  </w:style>
  <w:style w:type="paragraph" w:styleId="a4">
    <w:name w:val="header"/>
    <w:basedOn w:val="a"/>
    <w:link w:val="a5"/>
    <w:uiPriority w:val="99"/>
    <w:unhideWhenUsed/>
    <w:rsid w:val="00B504DE"/>
    <w:pPr>
      <w:tabs>
        <w:tab w:val="center" w:pos="4677"/>
        <w:tab w:val="right" w:pos="9355"/>
      </w:tabs>
      <w:suppressAutoHyphens/>
      <w:spacing w:after="0" w:line="240" w:lineRule="auto"/>
    </w:pPr>
    <w:rPr>
      <w:rFonts w:ascii="Times New Roman" w:eastAsia="Times New Roman" w:hAnsi="Times New Roman" w:cs="Times New Roman"/>
      <w:sz w:val="28"/>
      <w:szCs w:val="24"/>
      <w:lang w:eastAsia="ar-SA"/>
    </w:rPr>
  </w:style>
  <w:style w:type="character" w:customStyle="1" w:styleId="a5">
    <w:name w:val="Верхний колонтитул Знак"/>
    <w:basedOn w:val="a0"/>
    <w:link w:val="a4"/>
    <w:uiPriority w:val="99"/>
    <w:rsid w:val="00B504DE"/>
    <w:rPr>
      <w:rFonts w:ascii="Times New Roman" w:eastAsia="Times New Roman" w:hAnsi="Times New Roman" w:cs="Times New Roman"/>
      <w:sz w:val="28"/>
      <w:szCs w:val="24"/>
      <w:lang w:eastAsia="ar-SA"/>
    </w:rPr>
  </w:style>
  <w:style w:type="paragraph" w:styleId="a6">
    <w:name w:val="footnote text"/>
    <w:basedOn w:val="a"/>
    <w:link w:val="a7"/>
    <w:uiPriority w:val="99"/>
    <w:semiHidden/>
    <w:unhideWhenUsed/>
    <w:rsid w:val="00B504DE"/>
    <w:pPr>
      <w:spacing w:after="0" w:line="240" w:lineRule="auto"/>
    </w:pPr>
    <w:rPr>
      <w:rFonts w:ascii="Calibri" w:eastAsia="Calibri" w:hAnsi="Calibri" w:cs="Times New Roman"/>
      <w:sz w:val="20"/>
      <w:szCs w:val="20"/>
      <w:lang w:eastAsia="en-US"/>
    </w:rPr>
  </w:style>
  <w:style w:type="character" w:customStyle="1" w:styleId="a7">
    <w:name w:val="Текст сноски Знак"/>
    <w:basedOn w:val="a0"/>
    <w:link w:val="a6"/>
    <w:uiPriority w:val="99"/>
    <w:semiHidden/>
    <w:rsid w:val="00B504DE"/>
    <w:rPr>
      <w:rFonts w:ascii="Calibri" w:eastAsia="Calibri" w:hAnsi="Calibri" w:cs="Times New Roman"/>
      <w:sz w:val="20"/>
      <w:szCs w:val="20"/>
      <w:lang w:eastAsia="en-US"/>
    </w:rPr>
  </w:style>
  <w:style w:type="paragraph" w:styleId="a8">
    <w:name w:val="List Paragraph"/>
    <w:basedOn w:val="a"/>
    <w:uiPriority w:val="34"/>
    <w:qFormat/>
    <w:rsid w:val="00B504DE"/>
    <w:pPr>
      <w:ind w:left="720"/>
      <w:contextualSpacing/>
    </w:pPr>
    <w:rPr>
      <w:rFonts w:ascii="Calibri" w:eastAsia="Calibri" w:hAnsi="Calibri" w:cs="Times New Roman"/>
      <w:lang w:eastAsia="en-US"/>
    </w:rPr>
  </w:style>
  <w:style w:type="character" w:styleId="a9">
    <w:name w:val="footnote reference"/>
    <w:uiPriority w:val="99"/>
    <w:semiHidden/>
    <w:unhideWhenUsed/>
    <w:rsid w:val="00B504DE"/>
    <w:rPr>
      <w:vertAlign w:val="superscript"/>
    </w:rPr>
  </w:style>
  <w:style w:type="paragraph" w:styleId="aa">
    <w:name w:val="footer"/>
    <w:basedOn w:val="a"/>
    <w:link w:val="ab"/>
    <w:uiPriority w:val="99"/>
    <w:semiHidden/>
    <w:unhideWhenUsed/>
    <w:rsid w:val="00B504D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504DE"/>
  </w:style>
  <w:style w:type="character" w:customStyle="1" w:styleId="10">
    <w:name w:val="Заголовок 1 Знак"/>
    <w:basedOn w:val="a0"/>
    <w:link w:val="1"/>
    <w:rsid w:val="00B504DE"/>
    <w:rPr>
      <w:rFonts w:ascii="Times New Roman" w:eastAsia="Times New Roman" w:hAnsi="Times New Roman" w:cs="Times New Roman"/>
      <w:b/>
      <w:caps/>
      <w:snapToGrid w:val="0"/>
      <w:sz w:val="28"/>
      <w:szCs w:val="20"/>
    </w:rPr>
  </w:style>
  <w:style w:type="character" w:customStyle="1" w:styleId="50">
    <w:name w:val="Заголовок 5 Знак"/>
    <w:basedOn w:val="a0"/>
    <w:link w:val="5"/>
    <w:rsid w:val="00B504DE"/>
    <w:rPr>
      <w:rFonts w:ascii="Times New Roman" w:eastAsia="Times New Roman" w:hAnsi="Times New Roman" w:cs="Times New Roman"/>
      <w:b/>
      <w:snapToGrid w:val="0"/>
      <w:sz w:val="40"/>
      <w:szCs w:val="20"/>
    </w:rPr>
  </w:style>
</w:styles>
</file>

<file path=word/webSettings.xml><?xml version="1.0" encoding="utf-8"?>
<w:webSettings xmlns:r="http://schemas.openxmlformats.org/officeDocument/2006/relationships" xmlns:w="http://schemas.openxmlformats.org/wordprocessingml/2006/main">
  <w:divs>
    <w:div w:id="163899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3698</Words>
  <Characters>21080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фит</dc:creator>
  <cp:keywords/>
  <dc:description/>
  <cp:lastModifiedBy>фит</cp:lastModifiedBy>
  <cp:revision>3</cp:revision>
  <cp:lastPrinted>2015-05-28T12:14:00Z</cp:lastPrinted>
  <dcterms:created xsi:type="dcterms:W3CDTF">2015-05-28T11:58:00Z</dcterms:created>
  <dcterms:modified xsi:type="dcterms:W3CDTF">2015-05-28T12:18:00Z</dcterms:modified>
</cp:coreProperties>
</file>